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Billing Agent Setup Guide</w:t>
      </w:r>
    </w:p>
    <w:p>
      <w:r>
        <w:t>Windows installation for the original six tool version</w:t>
      </w:r>
    </w:p>
    <w:p>
      <w:r>
        <w:t xml:space="preserve">This guide sets up the Billing Agent with Azure OpenAI, a local SQLite database, a FastAPI backend, and a Streamlit chat interface. Use the original project entry point, </w:t>
      </w:r>
      <w:r>
        <w:rPr>
          <w:rFonts w:ascii="Consolas" w:hAnsi="Consolas"/>
          <w:sz w:val="18"/>
        </w:rPr>
        <w:t>app.py</w:t>
      </w:r>
      <w:r>
        <w:t>. The separate billing analysis and anomaly detection add-ons are outside this version. The later response speed update is not required for these setup steps.</w:t>
      </w:r>
    </w:p>
    <w:p>
      <w:pPr>
        <w:pStyle w:val="Heading1"/>
      </w:pPr>
      <w:r>
        <w:t>1 Prepare the project</w:t>
      </w:r>
    </w:p>
    <w:p>
      <w:r>
        <w:t>You need the original project folder, Python 3.13, internet access to install packages and call Azure, and an Azure OpenAI deployment that supports chat and tool calling. Python 3.13 is the version recorded in the project's verification notes. You do not need a PostgreSQL service or an Ollama server.</w:t>
      </w:r>
    </w:p>
    <w:p>
      <w:r>
        <w:t xml:space="preserve">The project root is the folder containing </w:t>
      </w:r>
      <w:r>
        <w:rPr>
          <w:rFonts w:ascii="Consolas" w:hAnsi="Consolas"/>
          <w:sz w:val="18"/>
        </w:rPr>
        <w:t>app.py</w:t>
      </w:r>
      <w:r>
        <w:t xml:space="preserve">, </w:t>
      </w:r>
      <w:r>
        <w:rPr>
          <w:rFonts w:ascii="Consolas" w:hAnsi="Consolas"/>
          <w:sz w:val="18"/>
        </w:rPr>
        <w:t>.env.example</w:t>
      </w:r>
      <w:r>
        <w:t xml:space="preserve">, and </w:t>
      </w:r>
      <w:r>
        <w:rPr>
          <w:rFonts w:ascii="Consolas" w:hAnsi="Consolas"/>
          <w:sz w:val="18"/>
        </w:rPr>
        <w:t>requirements.txt</w:t>
      </w:r>
      <w:r>
        <w:t xml:space="preserve">. It also contains </w:t>
      </w:r>
      <w:r>
        <w:rPr>
          <w:rFonts w:ascii="Consolas" w:hAnsi="Consolas"/>
          <w:sz w:val="18"/>
        </w:rPr>
        <w:t>agent</w:t>
      </w:r>
      <w:r>
        <w:t xml:space="preserve">, </w:t>
      </w:r>
      <w:r>
        <w:rPr>
          <w:rFonts w:ascii="Consolas" w:hAnsi="Consolas"/>
          <w:sz w:val="18"/>
        </w:rPr>
        <w:t>api</w:t>
      </w:r>
      <w:r>
        <w:t xml:space="preserve">, </w:t>
      </w:r>
      <w:r>
        <w:rPr>
          <w:rFonts w:ascii="Consolas" w:hAnsi="Consolas"/>
          <w:sz w:val="18"/>
        </w:rPr>
        <w:t>config</w:t>
      </w:r>
      <w:r>
        <w:t xml:space="preserve">, </w:t>
      </w:r>
      <w:r>
        <w:rPr>
          <w:rFonts w:ascii="Consolas" w:hAnsi="Consolas"/>
          <w:sz w:val="18"/>
        </w:rPr>
        <w:t>context</w:t>
      </w:r>
      <w:r>
        <w:t xml:space="preserve">, </w:t>
      </w:r>
      <w:r>
        <w:rPr>
          <w:rFonts w:ascii="Consolas" w:hAnsi="Consolas"/>
          <w:sz w:val="18"/>
        </w:rPr>
        <w:t>database</w:t>
      </w:r>
      <w:r>
        <w:t xml:space="preserve">, </w:t>
      </w:r>
      <w:r>
        <w:rPr>
          <w:rFonts w:ascii="Consolas" w:hAnsi="Consolas"/>
          <w:sz w:val="18"/>
        </w:rPr>
        <w:t>mcp_server</w:t>
      </w:r>
      <w:r>
        <w:t xml:space="preserve">, and </w:t>
      </w:r>
      <w:r>
        <w:rPr>
          <w:rFonts w:ascii="Consolas" w:hAnsi="Consolas"/>
          <w:sz w:val="18"/>
        </w:rPr>
        <w:t>ui</w:t>
      </w:r>
      <w:r>
        <w:t>. Keep their folder structure intact.</w:t>
      </w:r>
    </w:p>
    <w:p>
      <w:r>
        <w:t>Open PowerShell in that folder. The following path assumes you extracted it to your Desktop; change the path if necessary.</w:t>
      </w:r>
    </w:p>
    <w:p>
      <w:pPr>
        <w:keepNext/>
        <w:spacing w:after="0" w:line="240" w:lineRule="auto"/>
      </w:pPr>
      <w:r>
        <w:rPr>
          <w:rFonts w:ascii="Consolas" w:hAnsi="Consolas"/>
          <w:sz w:val="16"/>
        </w:rPr>
        <w:t>cd "$env:USERPROFILE\Desktop\billing_agent"</w:t>
      </w:r>
    </w:p>
    <w:p>
      <w:pPr>
        <w:keepNext/>
        <w:spacing w:after="0" w:line="240" w:lineRule="auto"/>
      </w:pPr>
      <w:r>
        <w:rPr>
          <w:rFonts w:ascii="Consolas" w:hAnsi="Consolas"/>
          <w:sz w:val="16"/>
        </w:rPr>
        <w:t>py -3.13 -m venv .venv</w:t>
      </w:r>
    </w:p>
    <w:p>
      <w:pPr>
        <w:keepNext/>
        <w:spacing w:after="0" w:line="240" w:lineRule="auto"/>
      </w:pPr>
      <w:r>
        <w:rPr>
          <w:rFonts w:ascii="Consolas" w:hAnsi="Consolas"/>
          <w:sz w:val="16"/>
        </w:rPr>
        <w:t>.\.venv\Scripts\python.exe -m pip install --upgrade pip</w:t>
      </w:r>
    </w:p>
    <w:p>
      <w:pPr>
        <w:keepNext/>
        <w:spacing w:after="0" w:line="240" w:lineRule="auto"/>
      </w:pPr>
      <w:r>
        <w:rPr>
          <w:rFonts w:ascii="Consolas" w:hAnsi="Consolas"/>
          <w:sz w:val="16"/>
        </w:rPr>
        <w:t>.\.venv\Scripts\python.exe -m pip install -r requirements-lock.txt</w:t>
      </w:r>
    </w:p>
    <w:p>
      <w:pPr>
        <w:keepNext w:val="0"/>
        <w:spacing w:after="140" w:line="240" w:lineRule="auto"/>
      </w:pPr>
      <w:r>
        <w:rPr>
          <w:rFonts w:ascii="Consolas" w:hAnsi="Consolas"/>
          <w:sz w:val="16"/>
        </w:rPr>
        <w:t>.\.venv\Scripts\python.exe -m pip check</w:t>
      </w:r>
    </w:p>
    <w:p>
      <w:r>
        <w:t xml:space="preserve">The commands use the virtual environment's Python directly, so PowerShell script activation is unnecessary. If your original package does not include </w:t>
      </w:r>
      <w:r>
        <w:rPr>
          <w:rFonts w:ascii="Consolas" w:hAnsi="Consolas"/>
          <w:sz w:val="18"/>
        </w:rPr>
        <w:t>requirements-lock.txt</w:t>
      </w:r>
      <w:r>
        <w:t xml:space="preserve">, install </w:t>
      </w:r>
      <w:r>
        <w:rPr>
          <w:rFonts w:ascii="Consolas" w:hAnsi="Consolas"/>
          <w:sz w:val="18"/>
        </w:rPr>
        <w:t>requirements.txt</w:t>
      </w:r>
      <w:r>
        <w:t xml:space="preserve"> instead. The lock file preserves the previously selected package versions. A successful </w:t>
      </w:r>
      <w:r>
        <w:rPr>
          <w:rFonts w:ascii="Consolas" w:hAnsi="Consolas"/>
          <w:sz w:val="18"/>
        </w:rPr>
        <w:t>pip check</w:t>
      </w:r>
      <w:r>
        <w:t xml:space="preserve"> reports no broken requirements.</w:t>
      </w:r>
    </w:p>
    <w:p>
      <w:pPr>
        <w:pStyle w:val="Heading1"/>
      </w:pPr>
      <w:r>
        <w:t>Original tools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6653"/>
      </w:tblGrid>
      <w:tr>
        <w:trPr>
          <w:cantSplit/>
          <w:tblHeader/>
        </w:trPr>
        <w:tc>
          <w:tcPr>
            <w:tcW w:type="dxa" w:w="3384"/>
            <w:vAlign w:val="center"/>
            <w:tcMar>
              <w:top w:w="80" w:type="dxa"/>
              <w:left w:w="80" w:type="dxa"/>
              <w:bottom w:w="80" w:type="dxa"/>
              <w:right w:w="80" w:type="dxa"/>
            </w:tcMar>
            <w:shd w:fill="E8EDF2"/>
          </w:tcPr>
          <w:p>
            <w:pPr>
              <w:spacing w:before="60" w:after="60"/>
            </w:pPr>
            <w:r>
              <w:rPr>
                <w:b/>
                <w:sz w:val="18"/>
              </w:rPr>
              <w:t>Tool</w:t>
            </w:r>
          </w:p>
        </w:tc>
        <w:tc>
          <w:tcPr>
            <w:tcW w:type="dxa" w:w="6653"/>
            <w:vAlign w:val="center"/>
            <w:tcMar>
              <w:top w:w="80" w:type="dxa"/>
              <w:left w:w="80" w:type="dxa"/>
              <w:bottom w:w="80" w:type="dxa"/>
              <w:right w:w="80" w:type="dxa"/>
            </w:tcMar>
            <w:shd w:fill="E8EDF2"/>
          </w:tcPr>
          <w:p>
            <w:pPr>
              <w:spacing w:before="60" w:after="60"/>
            </w:pPr>
            <w:r>
              <w:rPr>
                <w:b/>
                <w:sz w:val="18"/>
              </w:rPr>
              <w:t>Purpose</w:t>
            </w:r>
          </w:p>
        </w:tc>
      </w:tr>
      <w:tr>
        <w:trPr>
          <w:cantSplit/>
        </w:trPr>
        <w:tc>
          <w:tcPr>
            <w:tcW w:type="dxa" w:w="3384"/>
            <w:vAlign w:val="center"/>
            <w:tcMar>
              <w:top w:w="80" w:type="dxa"/>
              <w:left w:w="80" w:type="dxa"/>
              <w:bottom w:w="80" w:type="dxa"/>
              <w:right w:w="80" w:type="dxa"/>
            </w:tcMar>
          </w:tcPr>
          <w:p>
            <w:pPr>
              <w:spacing w:before="60" w:after="60"/>
            </w:pPr>
            <w:r>
              <w:rPr>
                <w:sz w:val="18"/>
              </w:rPr>
              <w:t>execute_sql_query</w:t>
            </w:r>
          </w:p>
        </w:tc>
        <w:tc>
          <w:tcPr>
            <w:tcW w:type="dxa" w:w="6653"/>
            <w:vAlign w:val="center"/>
            <w:tcMar>
              <w:top w:w="80" w:type="dxa"/>
              <w:left w:w="80" w:type="dxa"/>
              <w:bottom w:w="80" w:type="dxa"/>
              <w:right w:w="80" w:type="dxa"/>
            </w:tcMar>
          </w:tcPr>
          <w:p>
            <w:pPr>
              <w:spacing w:before="60" w:after="60"/>
            </w:pPr>
            <w:r>
              <w:rPr>
                <w:sz w:val="18"/>
              </w:rPr>
              <w:t>Read billing data with restricted SQL queries</w:t>
            </w:r>
          </w:p>
        </w:tc>
      </w:tr>
      <w:tr>
        <w:trPr>
          <w:cantSplit/>
        </w:trPr>
        <w:tc>
          <w:tcPr>
            <w:tcW w:type="dxa" w:w="3384"/>
            <w:vAlign w:val="center"/>
            <w:tcMar>
              <w:top w:w="80" w:type="dxa"/>
              <w:left w:w="80" w:type="dxa"/>
              <w:bottom w:w="80" w:type="dxa"/>
              <w:right w:w="80" w:type="dxa"/>
            </w:tcMar>
          </w:tcPr>
          <w:p>
            <w:pPr>
              <w:spacing w:before="60" w:after="60"/>
            </w:pPr>
            <w:r>
              <w:rPr>
                <w:sz w:val="18"/>
              </w:rPr>
              <w:t>request_order</w:t>
            </w:r>
          </w:p>
        </w:tc>
        <w:tc>
          <w:tcPr>
            <w:tcW w:type="dxa" w:w="6653"/>
            <w:vAlign w:val="center"/>
            <w:tcMar>
              <w:top w:w="80" w:type="dxa"/>
              <w:left w:w="80" w:type="dxa"/>
              <w:bottom w:w="80" w:type="dxa"/>
              <w:right w:w="80" w:type="dxa"/>
            </w:tcMar>
          </w:tcPr>
          <w:p>
            <w:pPr>
              <w:spacing w:before="60" w:after="60"/>
            </w:pPr>
            <w:r>
              <w:rPr>
                <w:sz w:val="18"/>
              </w:rPr>
              <w:t>Create a draft order and requested line items</w:t>
            </w:r>
          </w:p>
        </w:tc>
      </w:tr>
      <w:tr>
        <w:trPr>
          <w:cantSplit/>
        </w:trPr>
        <w:tc>
          <w:tcPr>
            <w:tcW w:type="dxa" w:w="3384"/>
            <w:vAlign w:val="center"/>
            <w:tcMar>
              <w:top w:w="80" w:type="dxa"/>
              <w:left w:w="80" w:type="dxa"/>
              <w:bottom w:w="80" w:type="dxa"/>
              <w:right w:w="80" w:type="dxa"/>
            </w:tcMar>
          </w:tcPr>
          <w:p>
            <w:pPr>
              <w:spacing w:before="60" w:after="60"/>
            </w:pPr>
            <w:r>
              <w:rPr>
                <w:sz w:val="18"/>
              </w:rPr>
              <w:t>apply_promotion</w:t>
            </w:r>
          </w:p>
        </w:tc>
        <w:tc>
          <w:tcPr>
            <w:tcW w:type="dxa" w:w="6653"/>
            <w:vAlign w:val="center"/>
            <w:tcMar>
              <w:top w:w="80" w:type="dxa"/>
              <w:left w:w="80" w:type="dxa"/>
              <w:bottom w:w="80" w:type="dxa"/>
              <w:right w:w="80" w:type="dxa"/>
            </w:tcMar>
          </w:tcPr>
          <w:p>
            <w:pPr>
              <w:spacing w:before="60" w:after="60"/>
            </w:pPr>
            <w:r>
              <w:rPr>
                <w:sz w:val="18"/>
              </w:rPr>
              <w:t>Apply an eligible promotion to a draft</w:t>
            </w:r>
          </w:p>
        </w:tc>
      </w:tr>
      <w:tr>
        <w:trPr>
          <w:cantSplit/>
        </w:trPr>
        <w:tc>
          <w:tcPr>
            <w:tcW w:type="dxa" w:w="3384"/>
            <w:vAlign w:val="center"/>
            <w:tcMar>
              <w:top w:w="80" w:type="dxa"/>
              <w:left w:w="80" w:type="dxa"/>
              <w:bottom w:w="80" w:type="dxa"/>
              <w:right w:w="80" w:type="dxa"/>
            </w:tcMar>
          </w:tcPr>
          <w:p>
            <w:pPr>
              <w:spacing w:before="60" w:after="60"/>
            </w:pPr>
            <w:r>
              <w:rPr>
                <w:sz w:val="18"/>
              </w:rPr>
              <w:t>place_order</w:t>
            </w:r>
          </w:p>
        </w:tc>
        <w:tc>
          <w:tcPr>
            <w:tcW w:type="dxa" w:w="6653"/>
            <w:vAlign w:val="center"/>
            <w:tcMar>
              <w:top w:w="80" w:type="dxa"/>
              <w:left w:w="80" w:type="dxa"/>
              <w:bottom w:w="80" w:type="dxa"/>
              <w:right w:w="80" w:type="dxa"/>
            </w:tcMar>
          </w:tcPr>
          <w:p>
            <w:pPr>
              <w:spacing w:before="60" w:after="60"/>
            </w:pPr>
            <w:r>
              <w:rPr>
                <w:sz w:val="18"/>
              </w:rPr>
              <w:t>Confirm fulfillment, reduce stock, and record an invoice</w:t>
            </w:r>
          </w:p>
        </w:tc>
      </w:tr>
      <w:tr>
        <w:trPr>
          <w:cantSplit/>
        </w:trPr>
        <w:tc>
          <w:tcPr>
            <w:tcW w:type="dxa" w:w="3384"/>
            <w:vAlign w:val="center"/>
            <w:tcMar>
              <w:top w:w="80" w:type="dxa"/>
              <w:left w:w="80" w:type="dxa"/>
              <w:bottom w:w="80" w:type="dxa"/>
              <w:right w:w="80" w:type="dxa"/>
            </w:tcMar>
          </w:tcPr>
          <w:p>
            <w:pPr>
              <w:spacing w:before="60" w:after="60"/>
            </w:pPr>
            <w:r>
              <w:rPr>
                <w:sz w:val="18"/>
              </w:rPr>
              <w:t>process_refund</w:t>
            </w:r>
          </w:p>
        </w:tc>
        <w:tc>
          <w:tcPr>
            <w:tcW w:type="dxa" w:w="6653"/>
            <w:vAlign w:val="center"/>
            <w:tcMar>
              <w:top w:w="80" w:type="dxa"/>
              <w:left w:w="80" w:type="dxa"/>
              <w:bottom w:w="80" w:type="dxa"/>
              <w:right w:w="80" w:type="dxa"/>
            </w:tcMar>
          </w:tcPr>
          <w:p>
            <w:pPr>
              <w:spacing w:before="60" w:after="60"/>
            </w:pPr>
            <w:r>
              <w:rPr>
                <w:sz w:val="18"/>
              </w:rPr>
              <w:t>Record a full or partial refund in the ledger</w:t>
            </w:r>
          </w:p>
        </w:tc>
      </w:tr>
      <w:tr>
        <w:trPr>
          <w:cantSplit/>
        </w:trPr>
        <w:tc>
          <w:tcPr>
            <w:tcW w:type="dxa" w:w="3384"/>
            <w:vAlign w:val="center"/>
            <w:tcMar>
              <w:top w:w="80" w:type="dxa"/>
              <w:left w:w="80" w:type="dxa"/>
              <w:bottom w:w="80" w:type="dxa"/>
              <w:right w:w="80" w:type="dxa"/>
            </w:tcMar>
          </w:tcPr>
          <w:p>
            <w:pPr>
              <w:spacing w:before="60" w:after="60"/>
            </w:pPr>
            <w:r>
              <w:rPr>
                <w:sz w:val="18"/>
              </w:rPr>
              <w:t>download_invoice</w:t>
            </w:r>
          </w:p>
        </w:tc>
        <w:tc>
          <w:tcPr>
            <w:tcW w:type="dxa" w:w="6653"/>
            <w:vAlign w:val="center"/>
            <w:tcMar>
              <w:top w:w="80" w:type="dxa"/>
              <w:left w:w="80" w:type="dxa"/>
              <w:bottom w:w="80" w:type="dxa"/>
              <w:right w:w="80" w:type="dxa"/>
            </w:tcMar>
          </w:tcPr>
          <w:p>
            <w:pPr>
              <w:spacing w:before="60" w:after="60"/>
            </w:pPr>
            <w:r>
              <w:rPr>
                <w:sz w:val="18"/>
              </w:rPr>
              <w:t>Generate or retrieve an invoice PDF for its owner</w:t>
            </w:r>
          </w:p>
        </w:tc>
      </w:tr>
    </w:tbl>
    <w:p>
      <w:pPr>
        <w:spacing w:after="0"/>
      </w:pPr>
    </w:p>
    <w:p>
      <w:r>
        <w:t>The API starts the MCP tool server itself. Do not launch an additional MCP process manually.</w:t>
      </w:r>
    </w:p>
    <w:p>
      <w:r>
        <w:br w:type="page"/>
      </w:r>
    </w:p>
    <w:p>
      <w:pPr>
        <w:pStyle w:val="Heading1"/>
      </w:pPr>
      <w:r>
        <w:t>2 Create your environment file</w:t>
      </w:r>
    </w:p>
    <w:p>
      <w:r>
        <w:t xml:space="preserve">Create </w:t>
      </w:r>
      <w:r>
        <w:rPr>
          <w:rFonts w:ascii="Consolas" w:hAnsi="Consolas"/>
          <w:sz w:val="18"/>
        </w:rPr>
        <w:t>.env</w:t>
      </w:r>
      <w:r>
        <w:t xml:space="preserve"> once in the project root. If it already exists, edit it instead of replacing it. The application loads </w:t>
      </w:r>
      <w:r>
        <w:rPr>
          <w:rFonts w:ascii="Consolas" w:hAnsi="Consolas"/>
          <w:sz w:val="18"/>
        </w:rPr>
        <w:t>.env</w:t>
      </w:r>
      <w:r>
        <w:t xml:space="preserve">; editing only </w:t>
      </w:r>
      <w:r>
        <w:rPr>
          <w:rFonts w:ascii="Consolas" w:hAnsi="Consolas"/>
          <w:sz w:val="18"/>
        </w:rPr>
        <w:t>.env.example</w:t>
      </w:r>
      <w:r>
        <w:t xml:space="preserve"> does not configure the application.</w:t>
      </w:r>
    </w:p>
    <w:p>
      <w:pPr>
        <w:keepNext/>
        <w:spacing w:after="0" w:line="240" w:lineRule="auto"/>
      </w:pPr>
      <w:r>
        <w:rPr>
          <w:rFonts w:ascii="Consolas" w:hAnsi="Consolas"/>
          <w:sz w:val="16"/>
        </w:rPr>
        <w:t>Copy-Item .env.example .env</w:t>
      </w:r>
    </w:p>
    <w:p>
      <w:pPr>
        <w:keepNext w:val="0"/>
        <w:spacing w:after="140" w:line="240" w:lineRule="auto"/>
      </w:pPr>
      <w:r>
        <w:rPr>
          <w:rFonts w:ascii="Consolas" w:hAnsi="Consolas"/>
          <w:sz w:val="16"/>
        </w:rPr>
        <w:t>notepad .env</w:t>
      </w:r>
    </w:p>
    <w:p>
      <w:r>
        <w:t>The values below are illustrative. Replace the Azure endpoint, key, deployment, model, and API version with values valid for your own Azure resource. The sample endpoint and credentials will not authenticate.</w:t>
      </w:r>
    </w:p>
    <w:p>
      <w:pPr>
        <w:keepNext/>
        <w:spacing w:after="0" w:line="240" w:lineRule="auto"/>
      </w:pPr>
      <w:r>
        <w:rPr>
          <w:rFonts w:ascii="Consolas" w:hAnsi="Consolas"/>
          <w:sz w:val="16"/>
        </w:rPr>
        <w:t>AZURE_OPENAI_ENDPOINT=https://billing-demo-resource.openai.azure.com</w:t>
      </w:r>
    </w:p>
    <w:p>
      <w:pPr>
        <w:keepNext/>
        <w:spacing w:after="0" w:line="240" w:lineRule="auto"/>
      </w:pPr>
      <w:r>
        <w:rPr>
          <w:rFonts w:ascii="Consolas" w:hAnsi="Consolas"/>
          <w:sz w:val="16"/>
        </w:rPr>
        <w:t>AZURE_OPENAI_API_KEY=0123456789abcdef0123456789abcdef</w:t>
      </w:r>
    </w:p>
    <w:p>
      <w:pPr>
        <w:keepNext/>
        <w:spacing w:after="0" w:line="240" w:lineRule="auto"/>
      </w:pPr>
      <w:r>
        <w:rPr>
          <w:rFonts w:ascii="Consolas" w:hAnsi="Consolas"/>
          <w:sz w:val="16"/>
        </w:rPr>
        <w:t>AZURE_OPENAI_DEPLOYMENT=billing-gpt4o</w:t>
      </w:r>
    </w:p>
    <w:p>
      <w:pPr>
        <w:keepNext/>
        <w:spacing w:after="0" w:line="240" w:lineRule="auto"/>
      </w:pPr>
      <w:r>
        <w:rPr>
          <w:rFonts w:ascii="Consolas" w:hAnsi="Consolas"/>
          <w:sz w:val="16"/>
        </w:rPr>
        <w:t>AZURE_OPENAI_MODEL=gpt-4o</w:t>
      </w:r>
    </w:p>
    <w:p>
      <w:pPr>
        <w:keepNext/>
        <w:spacing w:after="0" w:line="240" w:lineRule="auto"/>
      </w:pPr>
      <w:r>
        <w:rPr>
          <w:rFonts w:ascii="Consolas" w:hAnsi="Consolas"/>
          <w:sz w:val="16"/>
        </w:rPr>
        <w:t>AZURE_OPENAI_API_VERSION=2024-06-01</w:t>
      </w:r>
    </w:p>
    <w:p>
      <w:pPr>
        <w:keepNext/>
        <w:spacing w:after="0" w:line="240" w:lineRule="auto"/>
      </w:pPr>
      <w:r>
        <w:rPr>
          <w:rFonts w:ascii="Consolas" w:hAnsi="Consolas"/>
          <w:sz w:val="16"/>
        </w:rPr>
        <w:t>API_HOST=127.0.0.1</w:t>
      </w:r>
    </w:p>
    <w:p>
      <w:pPr>
        <w:keepNext/>
        <w:spacing w:after="0" w:line="240" w:lineRule="auto"/>
      </w:pPr>
      <w:r>
        <w:rPr>
          <w:rFonts w:ascii="Consolas" w:hAnsi="Consolas"/>
          <w:sz w:val="16"/>
        </w:rPr>
        <w:t>API_PORT=8000</w:t>
      </w:r>
    </w:p>
    <w:p>
      <w:pPr>
        <w:keepNext/>
        <w:spacing w:after="0" w:line="240" w:lineRule="auto"/>
      </w:pPr>
      <w:r>
        <w:rPr>
          <w:rFonts w:ascii="Consolas" w:hAnsi="Consolas"/>
          <w:sz w:val="16"/>
        </w:rPr>
        <w:t>API_URL=http://127.0.0.1:8000</w:t>
      </w:r>
    </w:p>
    <w:p>
      <w:pPr>
        <w:keepNext/>
        <w:spacing w:after="0" w:line="240" w:lineRule="auto"/>
      </w:pPr>
      <w:r>
        <w:rPr>
          <w:rFonts w:ascii="Consolas" w:hAnsi="Consolas"/>
          <w:sz w:val="16"/>
        </w:rPr>
        <w:t>BILLING_API_KEY=local-demo-token-change-me</w:t>
      </w:r>
    </w:p>
    <w:p>
      <w:pPr>
        <w:keepNext/>
        <w:spacing w:after="0" w:line="240" w:lineRule="auto"/>
      </w:pPr>
      <w:r>
        <w:rPr>
          <w:rFonts w:ascii="Consolas" w:hAnsi="Consolas"/>
          <w:sz w:val="16"/>
        </w:rPr>
        <w:t>BILLING_DB=database/billing.db</w:t>
      </w:r>
    </w:p>
    <w:p>
      <w:pPr>
        <w:keepNext/>
        <w:spacing w:after="0" w:line="240" w:lineRule="auto"/>
      </w:pPr>
      <w:r>
        <w:rPr>
          <w:rFonts w:ascii="Consolas" w:hAnsi="Consolas"/>
          <w:sz w:val="16"/>
        </w:rPr>
        <w:t>CONTEXT_DB=database/context.db</w:t>
      </w:r>
    </w:p>
    <w:p>
      <w:pPr>
        <w:keepNext/>
        <w:spacing w:after="0" w:line="240" w:lineRule="auto"/>
      </w:pPr>
      <w:r>
        <w:rPr>
          <w:rFonts w:ascii="Consolas" w:hAnsi="Consolas"/>
          <w:sz w:val="16"/>
        </w:rPr>
        <w:t>INVOICE_DIR=database/invoices</w:t>
      </w:r>
    </w:p>
    <w:p>
      <w:pPr>
        <w:keepNext/>
        <w:spacing w:after="0" w:line="240" w:lineRule="auto"/>
      </w:pPr>
      <w:r>
        <w:rPr>
          <w:rFonts w:ascii="Consolas" w:hAnsi="Consolas"/>
          <w:sz w:val="16"/>
        </w:rPr>
        <w:t>CHAT_TIMEOUT_SECONDS=180</w:t>
      </w:r>
    </w:p>
    <w:p>
      <w:pPr>
        <w:keepNext w:val="0"/>
        <w:spacing w:after="140" w:line="240" w:lineRule="auto"/>
      </w:pPr>
      <w:r>
        <w:rPr>
          <w:rFonts w:ascii="Consolas" w:hAnsi="Consolas"/>
          <w:sz w:val="16"/>
        </w:rPr>
        <w:t>SQL_MAX_ROWS=200</w:t>
      </w:r>
    </w:p>
    <w:p>
      <w:pPr>
        <w:pStyle w:val="Heading1"/>
      </w:pPr>
      <w:r>
        <w:t>Azure settings explained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6653"/>
      </w:tblGrid>
      <w:tr>
        <w:trPr>
          <w:cantSplit/>
          <w:tblHeader/>
        </w:trPr>
        <w:tc>
          <w:tcPr>
            <w:tcW w:type="dxa" w:w="3384"/>
            <w:vAlign w:val="center"/>
            <w:tcMar>
              <w:top w:w="80" w:type="dxa"/>
              <w:left w:w="80" w:type="dxa"/>
              <w:bottom w:w="80" w:type="dxa"/>
              <w:right w:w="80" w:type="dxa"/>
            </w:tcMar>
            <w:shd w:fill="E8EDF2"/>
          </w:tcPr>
          <w:p>
            <w:pPr>
              <w:spacing w:before="60" w:after="60"/>
            </w:pPr>
            <w:r>
              <w:rPr>
                <w:b/>
                <w:sz w:val="18"/>
              </w:rPr>
              <w:t>Field</w:t>
            </w:r>
          </w:p>
        </w:tc>
        <w:tc>
          <w:tcPr>
            <w:tcW w:type="dxa" w:w="6653"/>
            <w:vAlign w:val="center"/>
            <w:tcMar>
              <w:top w:w="80" w:type="dxa"/>
              <w:left w:w="80" w:type="dxa"/>
              <w:bottom w:w="80" w:type="dxa"/>
              <w:right w:w="80" w:type="dxa"/>
            </w:tcMar>
            <w:shd w:fill="E8EDF2"/>
          </w:tcPr>
          <w:p>
            <w:pPr>
              <w:spacing w:before="60" w:after="60"/>
            </w:pPr>
            <w:r>
              <w:rPr>
                <w:b/>
                <w:sz w:val="18"/>
              </w:rPr>
              <w:t>What to enter</w:t>
            </w:r>
          </w:p>
        </w:tc>
      </w:tr>
      <w:tr>
        <w:trPr>
          <w:cantSplit/>
        </w:trPr>
        <w:tc>
          <w:tcPr>
            <w:tcW w:type="dxa" w:w="3384"/>
            <w:vAlign w:val="center"/>
            <w:tcMar>
              <w:top w:w="80" w:type="dxa"/>
              <w:left w:w="80" w:type="dxa"/>
              <w:bottom w:w="80" w:type="dxa"/>
              <w:right w:w="80" w:type="dxa"/>
            </w:tcMar>
          </w:tcPr>
          <w:p>
            <w:pPr>
              <w:spacing w:before="60" w:after="60"/>
            </w:pPr>
            <w:r>
              <w:rPr>
                <w:sz w:val="18"/>
              </w:rPr>
              <w:t>AZURE_OPENAI_ENDPOINT</w:t>
            </w:r>
          </w:p>
        </w:tc>
        <w:tc>
          <w:tcPr>
            <w:tcW w:type="dxa" w:w="6653"/>
            <w:vAlign w:val="center"/>
            <w:tcMar>
              <w:top w:w="80" w:type="dxa"/>
              <w:left w:w="80" w:type="dxa"/>
              <w:bottom w:w="80" w:type="dxa"/>
              <w:right w:w="80" w:type="dxa"/>
            </w:tcMar>
          </w:tcPr>
          <w:p>
            <w:pPr>
              <w:spacing w:before="60" w:after="60"/>
            </w:pPr>
            <w:r>
              <w:rPr>
                <w:sz w:val="18"/>
              </w:rPr>
              <w:t>Your Azure resource's HTTPS root endpoint. Do not append a deployment path, query string, or chat/completions route.</w:t>
            </w:r>
          </w:p>
        </w:tc>
      </w:tr>
      <w:tr>
        <w:trPr>
          <w:cantSplit/>
        </w:trPr>
        <w:tc>
          <w:tcPr>
            <w:tcW w:type="dxa" w:w="3384"/>
            <w:vAlign w:val="center"/>
            <w:tcMar>
              <w:top w:w="80" w:type="dxa"/>
              <w:left w:w="80" w:type="dxa"/>
              <w:bottom w:w="80" w:type="dxa"/>
              <w:right w:w="80" w:type="dxa"/>
            </w:tcMar>
          </w:tcPr>
          <w:p>
            <w:pPr>
              <w:spacing w:before="60" w:after="60"/>
            </w:pPr>
            <w:r>
              <w:rPr>
                <w:sz w:val="18"/>
              </w:rPr>
              <w:t>AZURE_OPENAI_API_KEY</w:t>
            </w:r>
          </w:p>
        </w:tc>
        <w:tc>
          <w:tcPr>
            <w:tcW w:type="dxa" w:w="6653"/>
            <w:vAlign w:val="center"/>
            <w:tcMar>
              <w:top w:w="80" w:type="dxa"/>
              <w:left w:w="80" w:type="dxa"/>
              <w:bottom w:w="80" w:type="dxa"/>
              <w:right w:w="80" w:type="dxa"/>
            </w:tcMar>
          </w:tcPr>
          <w:p>
            <w:pPr>
              <w:spacing w:before="60" w:after="60"/>
            </w:pPr>
            <w:r>
              <w:rPr>
                <w:sz w:val="18"/>
              </w:rPr>
              <w:t>The actual access key for that Azure resource. This is the credential used to call the model.</w:t>
            </w:r>
          </w:p>
        </w:tc>
      </w:tr>
      <w:tr>
        <w:trPr>
          <w:cantSplit/>
        </w:trPr>
        <w:tc>
          <w:tcPr>
            <w:tcW w:type="dxa" w:w="3384"/>
            <w:vAlign w:val="center"/>
            <w:tcMar>
              <w:top w:w="80" w:type="dxa"/>
              <w:left w:w="80" w:type="dxa"/>
              <w:bottom w:w="80" w:type="dxa"/>
              <w:right w:w="80" w:type="dxa"/>
            </w:tcMar>
          </w:tcPr>
          <w:p>
            <w:pPr>
              <w:spacing w:before="60" w:after="60"/>
            </w:pPr>
            <w:r>
              <w:rPr>
                <w:sz w:val="18"/>
              </w:rPr>
              <w:t>AZURE_OPENAI_DEPLOYMENT</w:t>
            </w:r>
          </w:p>
        </w:tc>
        <w:tc>
          <w:tcPr>
            <w:tcW w:type="dxa" w:w="6653"/>
            <w:vAlign w:val="center"/>
            <w:tcMar>
              <w:top w:w="80" w:type="dxa"/>
              <w:left w:w="80" w:type="dxa"/>
              <w:bottom w:w="80" w:type="dxa"/>
              <w:right w:w="80" w:type="dxa"/>
            </w:tcMar>
          </w:tcPr>
          <w:p>
            <w:pPr>
              <w:spacing w:before="60" w:after="60"/>
            </w:pPr>
            <w:r>
              <w:rPr>
                <w:sz w:val="18"/>
              </w:rPr>
              <w:t>The exact deployment name configured in Azure. It can be a custom name such as billing-gpt4o.</w:t>
            </w:r>
          </w:p>
        </w:tc>
      </w:tr>
      <w:tr>
        <w:trPr>
          <w:cantSplit/>
        </w:trPr>
        <w:tc>
          <w:tcPr>
            <w:tcW w:type="dxa" w:w="3384"/>
            <w:vAlign w:val="center"/>
            <w:tcMar>
              <w:top w:w="80" w:type="dxa"/>
              <w:left w:w="80" w:type="dxa"/>
              <w:bottom w:w="80" w:type="dxa"/>
              <w:right w:w="80" w:type="dxa"/>
            </w:tcMar>
          </w:tcPr>
          <w:p>
            <w:pPr>
              <w:spacing w:before="60" w:after="60"/>
            </w:pPr>
            <w:r>
              <w:rPr>
                <w:sz w:val="18"/>
              </w:rPr>
              <w:t>AZURE_OPENAI_MODEL</w:t>
            </w:r>
          </w:p>
        </w:tc>
        <w:tc>
          <w:tcPr>
            <w:tcW w:type="dxa" w:w="6653"/>
            <w:vAlign w:val="center"/>
            <w:tcMar>
              <w:top w:w="80" w:type="dxa"/>
              <w:left w:w="80" w:type="dxa"/>
              <w:bottom w:w="80" w:type="dxa"/>
              <w:right w:w="80" w:type="dxa"/>
            </w:tcMar>
          </w:tcPr>
          <w:p>
            <w:pPr>
              <w:spacing w:before="60" w:after="60"/>
            </w:pPr>
            <w:r>
              <w:rPr>
                <w:sz w:val="18"/>
              </w:rPr>
              <w:t>The underlying model name for that deployment, such as gpt-4o. This can differ from the deployment name.</w:t>
            </w:r>
          </w:p>
        </w:tc>
      </w:tr>
      <w:tr>
        <w:trPr>
          <w:cantSplit/>
        </w:trPr>
        <w:tc>
          <w:tcPr>
            <w:tcW w:type="dxa" w:w="3384"/>
            <w:vAlign w:val="center"/>
            <w:tcMar>
              <w:top w:w="80" w:type="dxa"/>
              <w:left w:w="80" w:type="dxa"/>
              <w:bottom w:w="80" w:type="dxa"/>
              <w:right w:w="80" w:type="dxa"/>
            </w:tcMar>
          </w:tcPr>
          <w:p>
            <w:pPr>
              <w:spacing w:before="60" w:after="60"/>
            </w:pPr>
            <w:r>
              <w:rPr>
                <w:sz w:val="18"/>
              </w:rPr>
              <w:t>AZURE_OPENAI_API_VERSION</w:t>
            </w:r>
          </w:p>
        </w:tc>
        <w:tc>
          <w:tcPr>
            <w:tcW w:type="dxa" w:w="6653"/>
            <w:vAlign w:val="center"/>
            <w:tcMar>
              <w:top w:w="80" w:type="dxa"/>
              <w:left w:w="80" w:type="dxa"/>
              <w:bottom w:w="80" w:type="dxa"/>
              <w:right w:w="80" w:type="dxa"/>
            </w:tcMar>
          </w:tcPr>
          <w:p>
            <w:pPr>
              <w:spacing w:before="60" w:after="60"/>
            </w:pPr>
            <w:r>
              <w:rPr>
                <w:sz w:val="18"/>
              </w:rPr>
              <w:t>An API version supported by your deployment and this chat client. The example is not a guarantee of current deployment support.</w:t>
            </w:r>
          </w:p>
        </w:tc>
      </w:tr>
    </w:tbl>
    <w:p>
      <w:pPr>
        <w:spacing w:after="0"/>
      </w:pPr>
    </w:p>
    <w:p>
      <w:r>
        <w:t xml:space="preserve">Keep the actual key in your local </w:t>
      </w:r>
      <w:r>
        <w:rPr>
          <w:rFonts w:ascii="Consolas" w:hAnsi="Consolas"/>
          <w:sz w:val="18"/>
        </w:rPr>
        <w:t>.env</w:t>
      </w:r>
      <w:r>
        <w:t xml:space="preserve">. Restart both the API and Streamlit after changing configuration. Existing process environment variables can override values loaded from </w:t>
      </w:r>
      <w:r>
        <w:rPr>
          <w:rFonts w:ascii="Consolas" w:hAnsi="Consolas"/>
          <w:sz w:val="18"/>
        </w:rPr>
        <w:t>.env</w:t>
      </w:r>
      <w:r>
        <w:t>.</w:t>
      </w:r>
    </w:p>
    <w:p>
      <w:r>
        <w:br w:type="page"/>
      </w:r>
    </w:p>
    <w:p>
      <w:pPr>
        <w:pStyle w:val="Heading1"/>
      </w:pPr>
      <w:r>
        <w:t>3 Understand the local settings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6653"/>
      </w:tblGrid>
      <w:tr>
        <w:trPr>
          <w:cantSplit/>
          <w:tblHeader/>
        </w:trPr>
        <w:tc>
          <w:tcPr>
            <w:tcW w:type="dxa" w:w="3384"/>
            <w:vAlign w:val="center"/>
            <w:tcMar>
              <w:top w:w="80" w:type="dxa"/>
              <w:left w:w="80" w:type="dxa"/>
              <w:bottom w:w="80" w:type="dxa"/>
              <w:right w:w="80" w:type="dxa"/>
            </w:tcMar>
            <w:shd w:fill="E8EDF2"/>
          </w:tcPr>
          <w:p>
            <w:pPr>
              <w:spacing w:before="60" w:after="60"/>
            </w:pPr>
            <w:r>
              <w:rPr>
                <w:b/>
                <w:sz w:val="18"/>
              </w:rPr>
              <w:t>Field</w:t>
            </w:r>
          </w:p>
        </w:tc>
        <w:tc>
          <w:tcPr>
            <w:tcW w:type="dxa" w:w="6653"/>
            <w:vAlign w:val="center"/>
            <w:tcMar>
              <w:top w:w="80" w:type="dxa"/>
              <w:left w:w="80" w:type="dxa"/>
              <w:bottom w:w="80" w:type="dxa"/>
              <w:right w:w="80" w:type="dxa"/>
            </w:tcMar>
            <w:shd w:fill="E8EDF2"/>
          </w:tcPr>
          <w:p>
            <w:pPr>
              <w:spacing w:before="60" w:after="60"/>
            </w:pPr>
            <w:r>
              <w:rPr>
                <w:b/>
                <w:sz w:val="18"/>
              </w:rPr>
              <w:t>Meaning and example</w:t>
            </w:r>
          </w:p>
        </w:tc>
      </w:tr>
      <w:tr>
        <w:trPr>
          <w:cantSplit/>
        </w:trPr>
        <w:tc>
          <w:tcPr>
            <w:tcW w:type="dxa" w:w="3384"/>
            <w:vAlign w:val="center"/>
            <w:tcMar>
              <w:top w:w="80" w:type="dxa"/>
              <w:left w:w="80" w:type="dxa"/>
              <w:bottom w:w="80" w:type="dxa"/>
              <w:right w:w="80" w:type="dxa"/>
            </w:tcMar>
          </w:tcPr>
          <w:p>
            <w:pPr>
              <w:spacing w:before="60" w:after="60"/>
            </w:pPr>
            <w:r>
              <w:rPr>
                <w:sz w:val="18"/>
              </w:rPr>
              <w:t>API_HOST</w:t>
            </w:r>
          </w:p>
        </w:tc>
        <w:tc>
          <w:tcPr>
            <w:tcW w:type="dxa" w:w="6653"/>
            <w:vAlign w:val="center"/>
            <w:tcMar>
              <w:top w:w="80" w:type="dxa"/>
              <w:left w:w="80" w:type="dxa"/>
              <w:bottom w:w="80" w:type="dxa"/>
              <w:right w:w="80" w:type="dxa"/>
            </w:tcMar>
          </w:tcPr>
          <w:p>
            <w:pPr>
              <w:spacing w:before="60" w:after="60"/>
            </w:pPr>
            <w:r>
              <w:rPr>
                <w:sz w:val="18"/>
              </w:rPr>
              <w:t>Backend listening address. Keep 127.0.0.1 for use on your own computer.</w:t>
            </w:r>
          </w:p>
        </w:tc>
      </w:tr>
      <w:tr>
        <w:trPr>
          <w:cantSplit/>
        </w:trPr>
        <w:tc>
          <w:tcPr>
            <w:tcW w:type="dxa" w:w="3384"/>
            <w:vAlign w:val="center"/>
            <w:tcMar>
              <w:top w:w="80" w:type="dxa"/>
              <w:left w:w="80" w:type="dxa"/>
              <w:bottom w:w="80" w:type="dxa"/>
              <w:right w:w="80" w:type="dxa"/>
            </w:tcMar>
          </w:tcPr>
          <w:p>
            <w:pPr>
              <w:spacing w:before="60" w:after="60"/>
            </w:pPr>
            <w:r>
              <w:rPr>
                <w:sz w:val="18"/>
              </w:rPr>
              <w:t>API_PORT</w:t>
            </w:r>
          </w:p>
        </w:tc>
        <w:tc>
          <w:tcPr>
            <w:tcW w:type="dxa" w:w="6653"/>
            <w:vAlign w:val="center"/>
            <w:tcMar>
              <w:top w:w="80" w:type="dxa"/>
              <w:left w:w="80" w:type="dxa"/>
              <w:bottom w:w="80" w:type="dxa"/>
              <w:right w:w="80" w:type="dxa"/>
            </w:tcMar>
          </w:tcPr>
          <w:p>
            <w:pPr>
              <w:spacing w:before="60" w:after="60"/>
            </w:pPr>
            <w:r>
              <w:rPr>
                <w:sz w:val="18"/>
              </w:rPr>
              <w:t>Backend port, normally 8000. If changed, update API_URL too.</w:t>
            </w:r>
          </w:p>
        </w:tc>
      </w:tr>
      <w:tr>
        <w:trPr>
          <w:cantSplit/>
        </w:trPr>
        <w:tc>
          <w:tcPr>
            <w:tcW w:type="dxa" w:w="3384"/>
            <w:vAlign w:val="center"/>
            <w:tcMar>
              <w:top w:w="80" w:type="dxa"/>
              <w:left w:w="80" w:type="dxa"/>
              <w:bottom w:w="80" w:type="dxa"/>
              <w:right w:w="80" w:type="dxa"/>
            </w:tcMar>
          </w:tcPr>
          <w:p>
            <w:pPr>
              <w:spacing w:before="60" w:after="60"/>
            </w:pPr>
            <w:r>
              <w:rPr>
                <w:sz w:val="18"/>
              </w:rPr>
              <w:t>API_URL</w:t>
            </w:r>
          </w:p>
        </w:tc>
        <w:tc>
          <w:tcPr>
            <w:tcW w:type="dxa" w:w="6653"/>
            <w:vAlign w:val="center"/>
            <w:tcMar>
              <w:top w:w="80" w:type="dxa"/>
              <w:left w:w="80" w:type="dxa"/>
              <w:bottom w:w="80" w:type="dxa"/>
              <w:right w:w="80" w:type="dxa"/>
            </w:tcMar>
          </w:tcPr>
          <w:p>
            <w:pPr>
              <w:spacing w:before="60" w:after="60"/>
            </w:pPr>
            <w:r>
              <w:rPr>
                <w:sz w:val="18"/>
              </w:rPr>
              <w:t>Complete backend address used by Streamlit, normally http://127.0.0.1:8000.</w:t>
            </w:r>
          </w:p>
        </w:tc>
      </w:tr>
      <w:tr>
        <w:trPr>
          <w:cantSplit/>
        </w:trPr>
        <w:tc>
          <w:tcPr>
            <w:tcW w:type="dxa" w:w="3384"/>
            <w:vAlign w:val="center"/>
            <w:tcMar>
              <w:top w:w="80" w:type="dxa"/>
              <w:left w:w="80" w:type="dxa"/>
              <w:bottom w:w="80" w:type="dxa"/>
              <w:right w:w="80" w:type="dxa"/>
            </w:tcMar>
          </w:tcPr>
          <w:p>
            <w:pPr>
              <w:spacing w:before="60" w:after="60"/>
            </w:pPr>
            <w:r>
              <w:rPr>
                <w:sz w:val="18"/>
              </w:rPr>
              <w:t>BILLING_API_KEY</w:t>
            </w:r>
          </w:p>
        </w:tc>
        <w:tc>
          <w:tcPr>
            <w:tcW w:type="dxa" w:w="6653"/>
            <w:vAlign w:val="center"/>
            <w:tcMar>
              <w:top w:w="80" w:type="dxa"/>
              <w:left w:w="80" w:type="dxa"/>
              <w:bottom w:w="80" w:type="dxa"/>
              <w:right w:w="80" w:type="dxa"/>
            </w:tcMar>
          </w:tcPr>
          <w:p>
            <w:pPr>
              <w:spacing w:before="60" w:after="60"/>
            </w:pPr>
            <w:r>
              <w:rPr>
                <w:sz w:val="18"/>
              </w:rPr>
              <w:t>Your own shared credential protecting this billing API. It is separate from the Azure key. Set the same value for UI and backend. It may be blank for local-only use; the launcher requires it for non-loopback hosting.</w:t>
            </w:r>
          </w:p>
        </w:tc>
      </w:tr>
      <w:tr>
        <w:trPr>
          <w:cantSplit/>
        </w:trPr>
        <w:tc>
          <w:tcPr>
            <w:tcW w:type="dxa" w:w="3384"/>
            <w:vAlign w:val="center"/>
            <w:tcMar>
              <w:top w:w="80" w:type="dxa"/>
              <w:left w:w="80" w:type="dxa"/>
              <w:bottom w:w="80" w:type="dxa"/>
              <w:right w:w="80" w:type="dxa"/>
            </w:tcMar>
          </w:tcPr>
          <w:p>
            <w:pPr>
              <w:spacing w:before="60" w:after="60"/>
            </w:pPr>
            <w:r>
              <w:rPr>
                <w:sz w:val="18"/>
              </w:rPr>
              <w:t>BILLING_DB</w:t>
            </w:r>
          </w:p>
        </w:tc>
        <w:tc>
          <w:tcPr>
            <w:tcW w:type="dxa" w:w="6653"/>
            <w:vAlign w:val="center"/>
            <w:tcMar>
              <w:top w:w="80" w:type="dxa"/>
              <w:left w:w="80" w:type="dxa"/>
              <w:bottom w:w="80" w:type="dxa"/>
              <w:right w:w="80" w:type="dxa"/>
            </w:tcMar>
          </w:tcPr>
          <w:p>
            <w:pPr>
              <w:spacing w:before="60" w:after="60"/>
            </w:pPr>
            <w:r>
              <w:rPr>
                <w:sz w:val="18"/>
              </w:rPr>
              <w:t>SQLite file containing customers, orders, prices, inventory, and financial records. Default: database/billing.db.</w:t>
            </w:r>
          </w:p>
        </w:tc>
      </w:tr>
      <w:tr>
        <w:trPr>
          <w:cantSplit/>
        </w:trPr>
        <w:tc>
          <w:tcPr>
            <w:tcW w:type="dxa" w:w="3384"/>
            <w:vAlign w:val="center"/>
            <w:tcMar>
              <w:top w:w="80" w:type="dxa"/>
              <w:left w:w="80" w:type="dxa"/>
              <w:bottom w:w="80" w:type="dxa"/>
              <w:right w:w="80" w:type="dxa"/>
            </w:tcMar>
          </w:tcPr>
          <w:p>
            <w:pPr>
              <w:spacing w:before="60" w:after="60"/>
            </w:pPr>
            <w:r>
              <w:rPr>
                <w:sz w:val="18"/>
              </w:rPr>
              <w:t>CONTEXT_DB</w:t>
            </w:r>
          </w:p>
        </w:tc>
        <w:tc>
          <w:tcPr>
            <w:tcW w:type="dxa" w:w="6653"/>
            <w:vAlign w:val="center"/>
            <w:tcMar>
              <w:top w:w="80" w:type="dxa"/>
              <w:left w:w="80" w:type="dxa"/>
              <w:bottom w:w="80" w:type="dxa"/>
              <w:right w:w="80" w:type="dxa"/>
            </w:tcMar>
          </w:tcPr>
          <w:p>
            <w:pPr>
              <w:spacing w:before="60" w:after="60"/>
            </w:pPr>
            <w:r>
              <w:rPr>
                <w:sz w:val="18"/>
              </w:rPr>
              <w:t>Separate SQLite file storing conversations and request history. Default: database/context.db.</w:t>
            </w:r>
          </w:p>
        </w:tc>
      </w:tr>
      <w:tr>
        <w:trPr>
          <w:cantSplit/>
        </w:trPr>
        <w:tc>
          <w:tcPr>
            <w:tcW w:type="dxa" w:w="3384"/>
            <w:vAlign w:val="center"/>
            <w:tcMar>
              <w:top w:w="80" w:type="dxa"/>
              <w:left w:w="80" w:type="dxa"/>
              <w:bottom w:w="80" w:type="dxa"/>
              <w:right w:w="80" w:type="dxa"/>
            </w:tcMar>
          </w:tcPr>
          <w:p>
            <w:pPr>
              <w:spacing w:before="60" w:after="60"/>
            </w:pPr>
            <w:r>
              <w:rPr>
                <w:sz w:val="18"/>
              </w:rPr>
              <w:t>INVOICE_DIR</w:t>
            </w:r>
          </w:p>
        </w:tc>
        <w:tc>
          <w:tcPr>
            <w:tcW w:type="dxa" w:w="6653"/>
            <w:vAlign w:val="center"/>
            <w:tcMar>
              <w:top w:w="80" w:type="dxa"/>
              <w:left w:w="80" w:type="dxa"/>
              <w:bottom w:w="80" w:type="dxa"/>
              <w:right w:w="80" w:type="dxa"/>
            </w:tcMar>
          </w:tcPr>
          <w:p>
            <w:pPr>
              <w:spacing w:before="60" w:after="60"/>
            </w:pPr>
            <w:r>
              <w:rPr>
                <w:sz w:val="18"/>
              </w:rPr>
              <w:t>Folder for generated invoice PDFs. Default: database/invoices.</w:t>
            </w:r>
          </w:p>
        </w:tc>
      </w:tr>
      <w:tr>
        <w:trPr>
          <w:cantSplit/>
        </w:trPr>
        <w:tc>
          <w:tcPr>
            <w:tcW w:type="dxa" w:w="3384"/>
            <w:vAlign w:val="center"/>
            <w:tcMar>
              <w:top w:w="80" w:type="dxa"/>
              <w:left w:w="80" w:type="dxa"/>
              <w:bottom w:w="80" w:type="dxa"/>
              <w:right w:w="80" w:type="dxa"/>
            </w:tcMar>
          </w:tcPr>
          <w:p>
            <w:pPr>
              <w:spacing w:before="60" w:after="60"/>
            </w:pPr>
            <w:r>
              <w:rPr>
                <w:sz w:val="18"/>
              </w:rPr>
              <w:t>CHAT_TIMEOUT_SECONDS</w:t>
            </w:r>
          </w:p>
        </w:tc>
        <w:tc>
          <w:tcPr>
            <w:tcW w:type="dxa" w:w="6653"/>
            <w:vAlign w:val="center"/>
            <w:tcMar>
              <w:top w:w="80" w:type="dxa"/>
              <w:left w:w="80" w:type="dxa"/>
              <w:bottom w:w="80" w:type="dxa"/>
              <w:right w:w="80" w:type="dxa"/>
            </w:tcMar>
          </w:tcPr>
          <w:p>
            <w:pPr>
              <w:spacing w:before="60" w:after="60"/>
            </w:pPr>
            <w:r>
              <w:rPr>
                <w:sz w:val="18"/>
              </w:rPr>
              <w:t>Overall chat timeout in seconds, also used by the model client. Default: 180. Raising this allows a longer wait; it does not make responses faster.</w:t>
            </w:r>
          </w:p>
        </w:tc>
      </w:tr>
      <w:tr>
        <w:trPr>
          <w:cantSplit/>
        </w:trPr>
        <w:tc>
          <w:tcPr>
            <w:tcW w:type="dxa" w:w="3384"/>
            <w:vAlign w:val="center"/>
            <w:tcMar>
              <w:top w:w="80" w:type="dxa"/>
              <w:left w:w="80" w:type="dxa"/>
              <w:bottom w:w="80" w:type="dxa"/>
              <w:right w:w="80" w:type="dxa"/>
            </w:tcMar>
          </w:tcPr>
          <w:p>
            <w:pPr>
              <w:spacing w:before="60" w:after="60"/>
            </w:pPr>
            <w:r>
              <w:rPr>
                <w:sz w:val="18"/>
              </w:rPr>
              <w:t>SQL_MAX_ROWS</w:t>
            </w:r>
          </w:p>
        </w:tc>
        <w:tc>
          <w:tcPr>
            <w:tcW w:type="dxa" w:w="6653"/>
            <w:vAlign w:val="center"/>
            <w:tcMar>
              <w:top w:w="80" w:type="dxa"/>
              <w:left w:w="80" w:type="dxa"/>
              <w:bottom w:w="80" w:type="dxa"/>
              <w:right w:w="80" w:type="dxa"/>
            </w:tcMar>
          </w:tcPr>
          <w:p>
            <w:pPr>
              <w:spacing w:before="60" w:after="60"/>
            </w:pPr>
            <w:r>
              <w:rPr>
                <w:sz w:val="18"/>
              </w:rPr>
              <w:t>Maximum rows returned by the SQL tool. Default: 200; the application clamps it to 1 through 1000. It limits returned detail rows, not the rows contributing to a SQL aggregate.</w:t>
            </w:r>
          </w:p>
        </w:tc>
      </w:tr>
    </w:tbl>
    <w:p>
      <w:pPr>
        <w:spacing w:after="0"/>
      </w:pPr>
    </w:p>
    <w:p>
      <w:r>
        <w:t>Relative database and invoice paths resolve from the project root. Absolute paths are also accepted. These settings do not require a separate database username or password.</w:t>
      </w:r>
    </w:p>
    <w:p>
      <w:pPr>
        <w:pStyle w:val="Heading1"/>
      </w:pPr>
      <w:r>
        <w:t>4 Prepare the billing database</w:t>
      </w:r>
    </w:p>
    <w:p>
      <w:r>
        <w:t>Choose the data option appropriate for your installation. If your project already contains the supplied populated database, keep it and skip seeding. Normal API startup creates missing schema objects and default billing configuration; it does not generate demo customers or orders.</w:t>
      </w:r>
    </w:p>
    <w:p>
      <w:r/>
      <w:r>
        <w:rPr>
          <w:b/>
        </w:rPr>
        <w:t>Small demonstration dataset</w:t>
      </w:r>
      <w:r/>
    </w:p>
    <w:p>
      <w:pPr>
        <w:keepNext w:val="0"/>
        <w:spacing w:after="140" w:line="240" w:lineRule="auto"/>
      </w:pPr>
      <w:r>
        <w:rPr>
          <w:rFonts w:ascii="Consolas" w:hAnsi="Consolas"/>
          <w:sz w:val="16"/>
        </w:rPr>
        <w:t>.\.venv\Scripts\python.exe -m database.seed</w:t>
      </w:r>
    </w:p>
    <w:p>
      <w:r>
        <w:t>This adds four demo customers, three products, and two promotions while preserving existing matching records. It is suitable for manually testing the order workflow with customer CUST001 and item ITEM001.</w:t>
      </w:r>
    </w:p>
    <w:p>
      <w:r/>
      <w:r>
        <w:rPr>
          <w:b/>
        </w:rPr>
        <w:t>Larger synthetic dataset</w:t>
      </w:r>
      <w:r/>
    </w:p>
    <w:p>
      <w:r>
        <w:t xml:space="preserve">If your copy includes </w:t>
      </w:r>
      <w:r>
        <w:rPr>
          <w:rFonts w:ascii="Consolas" w:hAnsi="Consolas"/>
          <w:sz w:val="18"/>
        </w:rPr>
        <w:t>generate_seed.py</w:t>
      </w:r>
      <w:r>
        <w:t>, run it against the intended demo database. Do not run both seeds unless you want both sets of records.</w:t>
      </w:r>
    </w:p>
    <w:p>
      <w:pPr>
        <w:keepNext w:val="0"/>
        <w:spacing w:after="140" w:line="240" w:lineRule="auto"/>
      </w:pPr>
      <w:r>
        <w:rPr>
          <w:rFonts w:ascii="Consolas" w:hAnsi="Consolas"/>
          <w:sz w:val="16"/>
        </w:rPr>
        <w:t>.\.venv\Scripts\python.exe generate_seed.py</w:t>
      </w:r>
    </w:p>
    <w:p>
      <w:r>
        <w:t>From an empty database, this generator adds 400 customers, 400 items, 350 orders, 450 requested lines, 400 fulfilled lines, and 400 invoice lines. Of the orders, 300 are invoiced and 50 are drafts. It also adds 240 price history rows and 12 promotions. Its marker prevents duplicate generation, and its validation checks relationships, totals, refunds, inventory, and table size limits. Existing records can change final counts or cause the size check to reject insertion.</w:t>
      </w:r>
    </w:p>
    <w:p>
      <w:r>
        <w:br w:type="page"/>
      </w:r>
    </w:p>
    <w:p>
      <w:pPr>
        <w:pStyle w:val="Heading1"/>
      </w:pPr>
      <w:r>
        <w:t>5 Start the API and chat interface</w:t>
      </w:r>
    </w:p>
    <w:p>
      <w:r>
        <w:t>Keep two PowerShell terminals open in the project root. Use the same virtual environment for both commands.</w:t>
      </w:r>
    </w:p>
    <w:p>
      <w:r/>
      <w:r>
        <w:rPr>
          <w:b/>
        </w:rPr>
        <w:t>Terminal one starts the original API</w:t>
      </w:r>
      <w:r/>
    </w:p>
    <w:p>
      <w:pPr>
        <w:keepNext/>
        <w:spacing w:after="0" w:line="240" w:lineRule="auto"/>
      </w:pPr>
      <w:r>
        <w:rPr>
          <w:rFonts w:ascii="Consolas" w:hAnsi="Consolas"/>
          <w:sz w:val="16"/>
        </w:rPr>
        <w:t>cd "$env:USERPROFILE\Desktop\billing_agent"</w:t>
      </w:r>
    </w:p>
    <w:p>
      <w:pPr>
        <w:keepNext w:val="0"/>
        <w:spacing w:after="140" w:line="240" w:lineRule="auto"/>
      </w:pPr>
      <w:r>
        <w:rPr>
          <w:rFonts w:ascii="Consolas" w:hAnsi="Consolas"/>
          <w:sz w:val="16"/>
        </w:rPr>
        <w:t>.\.venv\Scripts\python.exe app.py</w:t>
      </w:r>
    </w:p>
    <w:p>
      <w:r>
        <w:t xml:space="preserve">Wait for application startup to complete. With the sample local settings, the backend listens at </w:t>
      </w:r>
      <w:r>
        <w:rPr>
          <w:rFonts w:ascii="Consolas" w:hAnsi="Consolas"/>
          <w:sz w:val="18"/>
        </w:rPr>
        <w:t>http://127.0.0.1:8000</w:t>
      </w:r>
      <w:r>
        <w:t>. Leave this terminal running.</w:t>
      </w:r>
    </w:p>
    <w:p>
      <w:r/>
      <w:r>
        <w:rPr>
          <w:b/>
        </w:rPr>
        <w:t>Terminal two starts Streamlit</w:t>
      </w:r>
      <w:r/>
    </w:p>
    <w:p>
      <w:pPr>
        <w:keepNext/>
        <w:spacing w:after="0" w:line="240" w:lineRule="auto"/>
      </w:pPr>
      <w:r>
        <w:rPr>
          <w:rFonts w:ascii="Consolas" w:hAnsi="Consolas"/>
          <w:sz w:val="16"/>
        </w:rPr>
        <w:t>cd "$env:USERPROFILE\Desktop\billing_agent"</w:t>
      </w:r>
    </w:p>
    <w:p>
      <w:pPr>
        <w:keepNext w:val="0"/>
        <w:spacing w:after="140" w:line="240" w:lineRule="auto"/>
      </w:pPr>
      <w:r>
        <w:rPr>
          <w:rFonts w:ascii="Consolas" w:hAnsi="Consolas"/>
          <w:sz w:val="16"/>
        </w:rPr>
        <w:t>.\.venv\Scripts\python.exe -m streamlit run ui/streamlit_app.py</w:t>
      </w:r>
    </w:p>
    <w:p>
      <w:r>
        <w:t xml:space="preserve">Open the local address shown by Streamlit, normally </w:t>
      </w:r>
      <w:r>
        <w:rPr>
          <w:rFonts w:ascii="Consolas" w:hAnsi="Consolas"/>
          <w:sz w:val="18"/>
        </w:rPr>
        <w:t>http://localhost:8501</w:t>
      </w:r>
      <w:r>
        <w:t>. The interface displays the Billing Agent heading and a chat input. Expand the sidebar to set an optional customer ID, start a new conversation, or resume a saved conversation.</w:t>
      </w:r>
    </w:p>
    <w:p>
      <w:r>
        <w:t>The customer association supplies conversational context and defaults for billing operations. This local operator application does not use that field as a customer authentication boundary.</w:t>
      </w:r>
    </w:p>
    <w:p>
      <w:pPr>
        <w:pStyle w:val="Heading1"/>
      </w:pPr>
      <w:r>
        <w:t>6 Verify the installation</w:t>
      </w:r>
    </w:p>
    <w:p>
      <w:r>
        <w:t xml:space="preserve">First verify the backend. This command reads the local API credential from </w:t>
      </w:r>
      <w:r>
        <w:rPr>
          <w:rFonts w:ascii="Consolas" w:hAnsi="Consolas"/>
          <w:sz w:val="18"/>
        </w:rPr>
        <w:t>.env</w:t>
      </w:r>
      <w:r>
        <w:t xml:space="preserve"> without placing the actual value in your command history.</w:t>
      </w:r>
    </w:p>
    <w:p>
      <w:pPr>
        <w:keepNext/>
        <w:spacing w:after="0" w:line="240" w:lineRule="auto"/>
      </w:pPr>
      <w:r>
        <w:rPr>
          <w:rFonts w:ascii="Consolas" w:hAnsi="Consolas"/>
          <w:sz w:val="16"/>
        </w:rPr>
        <w:t>@'</w:t>
      </w:r>
    </w:p>
    <w:p>
      <w:pPr>
        <w:keepNext/>
        <w:spacing w:after="0" w:line="240" w:lineRule="auto"/>
      </w:pPr>
      <w:r>
        <w:rPr>
          <w:rFonts w:ascii="Consolas" w:hAnsi="Consolas"/>
          <w:sz w:val="16"/>
        </w:rPr>
        <w:t>from config import settings</w:t>
      </w:r>
    </w:p>
    <w:p>
      <w:pPr>
        <w:keepNext/>
        <w:spacing w:after="0" w:line="240" w:lineRule="auto"/>
      </w:pPr>
      <w:r>
        <w:rPr>
          <w:rFonts w:ascii="Consolas" w:hAnsi="Consolas"/>
          <w:sz w:val="16"/>
        </w:rPr>
        <w:t>import httpx, os</w:t>
      </w:r>
    </w:p>
    <w:p>
      <w:pPr>
        <w:keepNext/>
        <w:spacing w:after="0" w:line="240" w:lineRule="auto"/>
      </w:pPr>
      <w:r>
        <w:rPr>
          <w:rFonts w:ascii="Consolas" w:hAnsi="Consolas"/>
          <w:sz w:val="16"/>
        </w:rPr>
        <w:t>url = os.getenv("API_URL", "http://127.0.0.1:8000")</w:t>
      </w:r>
    </w:p>
    <w:p>
      <w:pPr>
        <w:keepNext/>
        <w:spacing w:after="0" w:line="240" w:lineRule="auto"/>
      </w:pPr>
      <w:r>
        <w:rPr>
          <w:rFonts w:ascii="Consolas" w:hAnsi="Consolas"/>
          <w:sz w:val="16"/>
        </w:rPr>
        <w:t>r = httpx.get(url + "/health",</w:t>
      </w:r>
    </w:p>
    <w:p>
      <w:pPr>
        <w:keepNext/>
        <w:spacing w:after="0" w:line="240" w:lineRule="auto"/>
      </w:pPr>
      <w:r>
        <w:rPr>
          <w:rFonts w:ascii="Consolas" w:hAnsi="Consolas"/>
          <w:sz w:val="16"/>
        </w:rPr>
        <w:t xml:space="preserve">             headers={"X-API-Key": settings.API_KEY})</w:t>
      </w:r>
    </w:p>
    <w:p>
      <w:pPr>
        <w:keepNext/>
        <w:spacing w:after="0" w:line="240" w:lineRule="auto"/>
      </w:pPr>
      <w:r>
        <w:rPr>
          <w:rFonts w:ascii="Consolas" w:hAnsi="Consolas"/>
          <w:sz w:val="16"/>
        </w:rPr>
        <w:t>print(r.status_code, r.json())</w:t>
      </w:r>
    </w:p>
    <w:p>
      <w:pPr>
        <w:keepNext w:val="0"/>
        <w:spacing w:after="140" w:line="240" w:lineRule="auto"/>
      </w:pPr>
      <w:r>
        <w:rPr>
          <w:rFonts w:ascii="Consolas" w:hAnsi="Consolas"/>
          <w:sz w:val="16"/>
        </w:rPr>
        <w:t>'@ | .\.venv\Scripts\python.exe -</w:t>
      </w:r>
    </w:p>
    <w:p>
      <w:r>
        <w:t xml:space="preserve">A healthy configuration returns HTTP 200 with </w:t>
      </w:r>
      <w:r>
        <w:rPr>
          <w:rFonts w:ascii="Consolas" w:hAnsi="Consolas"/>
          <w:sz w:val="18"/>
        </w:rPr>
        <w:t>model_configured</w:t>
      </w:r>
      <w:r>
        <w:t xml:space="preserve"> set to true. The </w:t>
      </w:r>
      <w:r>
        <w:rPr>
          <w:rFonts w:ascii="Consolas" w:hAnsi="Consolas"/>
          <w:sz w:val="18"/>
        </w:rPr>
        <w:t>connection_verified</w:t>
      </w:r>
      <w:r>
        <w:t xml:space="preserve"> field remains false because this endpoint checks configuration only. Send a chat message to verify a real Azure request and tool execution.</w:t>
      </w:r>
    </w:p>
    <w:p>
      <w:r>
        <w:t>Try these read-only prompts in the UI:</w:t>
      </w:r>
    </w:p>
    <w:p>
      <w:pPr>
        <w:pStyle w:val="ListBullet"/>
      </w:pPr>
      <w:r>
        <w:t>How many customers are in the database?</w:t>
      </w:r>
    </w:p>
    <w:p>
      <w:pPr>
        <w:pStyle w:val="ListBullet"/>
      </w:pPr>
      <w:r>
        <w:t>List five items and their selling prices and available quantities.</w:t>
      </w:r>
    </w:p>
    <w:p>
      <w:pPr>
        <w:pStyle w:val="ListBullet"/>
      </w:pPr>
      <w:r>
        <w:t>Show the latest five orders with their charged prices.</w:t>
      </w:r>
    </w:p>
    <w:p>
      <w:r>
        <w:t>On the small demo seed, the first prompt should report four customers. With the larger seed, use its actual database counts. An empty orders result is expected when only the small seed has been run.</w:t>
      </w:r>
    </w:p>
    <w:p>
      <w:r>
        <w:br w:type="page"/>
      </w:r>
    </w:p>
    <w:p>
      <w:pPr>
        <w:pStyle w:val="Heading1"/>
      </w:pPr>
      <w:r>
        <w:t>7 Test the billing workflow</w:t>
      </w:r>
    </w:p>
    <w:p>
      <w:r>
        <w:t>Use a demo database for this sequence because it creates real records in that SQLite file. For the small seed, set the sidebar customer to CUST001 before starting a new conversation. For the larger seed, ask the agent to list valid customer IDs and item codes, then substitute them below.</w:t>
      </w:r>
    </w:p>
    <w:p>
      <w:r>
        <w:t>1. Ask: Create a draft order for one ITEM001 for customer CUST001.</w:t>
      </w:r>
    </w:p>
    <w:p>
      <w:r>
        <w:t>2. Review the returned order ID and estimated totals. Creating the draft does not reserve inventory.</w:t>
      </w:r>
    </w:p>
    <w:p>
      <w:r>
        <w:t>3. Ask: Apply SAVE10 to that draft order. Use this promotion only if it exists in your selected dataset.</w:t>
      </w:r>
    </w:p>
    <w:p>
      <w:r>
        <w:t>4. Explicitly confirm: Confirm placement of that order.</w:t>
      </w:r>
    </w:p>
    <w:p>
      <w:r>
        <w:t>5. Ask: Download the invoice for that order. Use the returned invoice attachment and Prepare PDF control to obtain the file.</w:t>
      </w:r>
    </w:p>
    <w:p>
      <w:r>
        <w:t>6. Optionally test a refund: Record a full refund for that order because the item was returned.</w:t>
      </w:r>
    </w:p>
    <w:p>
      <w:r>
        <w:t>Order placement persists invoice and fulfillment lines and reduces inventory. Promotions must be applied before placement. The refund tool records a ledger entry only; it does not transfer funds or restock goods. Ask the agent to show the order afterward to verify its stored refund status.</w:t>
      </w:r>
    </w:p>
    <w:p>
      <w:pPr>
        <w:pStyle w:val="Heading1"/>
      </w:pPr>
      <w:r>
        <w:t>8 Optional automated checks</w:t>
      </w:r>
    </w:p>
    <w:p>
      <w:r>
        <w:t>The project's tests exercise billing operations, restricted SQL, API behavior, MCP tool execution, and the Streamlit interface. They use isolated test databases. Model replay tests do not demonstrate connectivity to your Azure deployment.</w:t>
      </w:r>
    </w:p>
    <w:p>
      <w:pPr>
        <w:keepNext/>
        <w:spacing w:after="0" w:line="240" w:lineRule="auto"/>
      </w:pPr>
      <w:r>
        <w:rPr>
          <w:rFonts w:ascii="Consolas" w:hAnsi="Consolas"/>
          <w:sz w:val="16"/>
        </w:rPr>
        <w:t>.\.venv\Scripts\python.exe -m pip install -r requirements-dev.txt</w:t>
      </w:r>
    </w:p>
    <w:p>
      <w:pPr>
        <w:keepNext w:val="0"/>
        <w:spacing w:after="140" w:line="240" w:lineRule="auto"/>
      </w:pPr>
      <w:r>
        <w:rPr>
          <w:rFonts w:ascii="Consolas" w:hAnsi="Consolas"/>
          <w:sz w:val="16"/>
        </w:rPr>
        <w:t>.\.venv\Scripts\python.exe -m pytest -q</w:t>
      </w:r>
    </w:p>
    <w:p>
      <w:pPr>
        <w:pStyle w:val="Heading1"/>
      </w:pPr>
      <w:r>
        <w:t>API request format</w:t>
      </w:r>
    </w:p>
    <w:p>
      <w:r>
        <w:t xml:space="preserve">For direct API integration, create a conversation with </w:t>
      </w:r>
      <w:r>
        <w:rPr>
          <w:rFonts w:ascii="Consolas" w:hAnsi="Consolas"/>
          <w:sz w:val="18"/>
        </w:rPr>
        <w:t>POST /conversations</w:t>
      </w:r>
      <w:r>
        <w:t xml:space="preserve"> first. Then send </w:t>
      </w:r>
      <w:r>
        <w:rPr>
          <w:rFonts w:ascii="Consolas" w:hAnsi="Consolas"/>
          <w:sz w:val="18"/>
        </w:rPr>
        <w:t>POST /chat</w:t>
      </w:r>
      <w:r>
        <w:t xml:space="preserve"> with all three fields: </w:t>
      </w:r>
      <w:r>
        <w:rPr>
          <w:rFonts w:ascii="Consolas" w:hAnsi="Consolas"/>
          <w:sz w:val="18"/>
        </w:rPr>
        <w:t>conversation_id</w:t>
      </w:r>
      <w:r>
        <w:t xml:space="preserve">, a newly generated UUID </w:t>
      </w:r>
      <w:r>
        <w:rPr>
          <w:rFonts w:ascii="Consolas" w:hAnsi="Consolas"/>
          <w:sz w:val="18"/>
        </w:rPr>
        <w:t>request_id</w:t>
      </w:r>
      <w:r>
        <w:t xml:space="preserve">, and </w:t>
      </w:r>
      <w:r>
        <w:rPr>
          <w:rFonts w:ascii="Consolas" w:hAnsi="Consolas"/>
          <w:sz w:val="18"/>
        </w:rPr>
        <w:t>message</w:t>
      </w:r>
      <w:r>
        <w:t xml:space="preserve">. Send the </w:t>
      </w:r>
      <w:r>
        <w:rPr>
          <w:rFonts w:ascii="Consolas" w:hAnsi="Consolas"/>
          <w:sz w:val="18"/>
        </w:rPr>
        <w:t>X-API-Key</w:t>
      </w:r>
      <w:r>
        <w:t xml:space="preserve"> header when BILLING_API_KEY is configured. Streamlit handles these fields automatically.</w:t>
      </w:r>
    </w:p>
    <w:p>
      <w:r>
        <w:t>Retrying the same completed request ID returns the saved response. Reusing it for different text is rejected. A failed or pending turn must be checked before a new request repeats any write, since a tool may already have committed an order or refund.</w:t>
      </w:r>
    </w:p>
    <w:p>
      <w:pPr>
        <w:pStyle w:val="Heading1"/>
      </w:pPr>
      <w:r>
        <w:t>Stop and restart</w:t>
      </w:r>
    </w:p>
    <w:p>
      <w:r>
        <w:t xml:space="preserve">Press Ctrl+C in each terminal to stop the UI and API. Restart them with the commands in section 5. Keep </w:t>
      </w:r>
      <w:r>
        <w:rPr>
          <w:rFonts w:ascii="Consolas" w:hAnsi="Consolas"/>
          <w:sz w:val="18"/>
        </w:rPr>
        <w:t>billing.db</w:t>
      </w:r>
      <w:r>
        <w:t xml:space="preserve">, </w:t>
      </w:r>
      <w:r>
        <w:rPr>
          <w:rFonts w:ascii="Consolas" w:hAnsi="Consolas"/>
          <w:sz w:val="18"/>
        </w:rPr>
        <w:t>context.db</w:t>
      </w:r>
      <w:r>
        <w:t>, and the invoices folder when you want to retain billing data, conversations, and generated files. For a simple file backup, stop both processes first and copy the entire database folder, including any SQLite companion files.</w:t>
      </w:r>
    </w:p>
    <w:p>
      <w:r>
        <w:br w:type="page"/>
      </w:r>
    </w:p>
    <w:p>
      <w:pPr>
        <w:pStyle w:val="Heading1"/>
      </w:pPr>
      <w:r>
        <w:t>9 Troubleshooting</w:t>
      </w:r>
    </w:p>
    <w:p>
      <w:r/>
      <w:r>
        <w:rPr>
          <w:b/>
        </w:rPr>
        <w:t>Cannot import RequestContext from mcp.shared.context</w:t>
      </w:r>
      <w:r/>
    </w:p>
    <w:p>
      <w:r>
        <w:t>This indicates the installed MCP SDK does not match the API expected by AutoGen. Use the project's virtual environment and restore the supplied dependency set instead of independently upgrading one package.</w:t>
      </w:r>
    </w:p>
    <w:p>
      <w:pPr>
        <w:keepNext/>
        <w:spacing w:after="0" w:line="240" w:lineRule="auto"/>
      </w:pPr>
      <w:r>
        <w:rPr>
          <w:rFonts w:ascii="Consolas" w:hAnsi="Consolas"/>
          <w:sz w:val="16"/>
        </w:rPr>
        <w:t>.\.venv\Scripts\python.exe -m pip install --force-reinstall -r requirements-lock.txt</w:t>
      </w:r>
    </w:p>
    <w:p>
      <w:pPr>
        <w:keepNext/>
        <w:spacing w:after="0" w:line="240" w:lineRule="auto"/>
      </w:pPr>
      <w:r>
        <w:rPr>
          <w:rFonts w:ascii="Consolas" w:hAnsi="Consolas"/>
          <w:sz w:val="16"/>
        </w:rPr>
        <w:t>.\.venv\Scripts\python.exe -m pip check</w:t>
      </w:r>
    </w:p>
    <w:p>
      <w:pPr>
        <w:keepNext/>
        <w:spacing w:after="0" w:line="240" w:lineRule="auto"/>
      </w:pPr>
      <w:r>
        <w:rPr>
          <w:rFonts w:ascii="Consolas" w:hAnsi="Consolas"/>
          <w:sz w:val="16"/>
        </w:rPr>
        <w:t>@'</w:t>
      </w:r>
    </w:p>
    <w:p>
      <w:pPr>
        <w:keepNext/>
        <w:spacing w:after="0" w:line="240" w:lineRule="auto"/>
      </w:pPr>
      <w:r>
        <w:rPr>
          <w:rFonts w:ascii="Consolas" w:hAnsi="Consolas"/>
          <w:sz w:val="16"/>
        </w:rPr>
        <w:t>from mcp.shared.context import RequestContext</w:t>
      </w:r>
    </w:p>
    <w:p>
      <w:pPr>
        <w:keepNext/>
        <w:spacing w:after="0" w:line="240" w:lineRule="auto"/>
      </w:pPr>
      <w:r>
        <w:rPr>
          <w:rFonts w:ascii="Consolas" w:hAnsi="Consolas"/>
          <w:sz w:val="16"/>
        </w:rPr>
        <w:t>from autogen_ext.tools.mcp import McpWorkbench</w:t>
      </w:r>
    </w:p>
    <w:p>
      <w:pPr>
        <w:keepNext/>
        <w:spacing w:after="0" w:line="240" w:lineRule="auto"/>
      </w:pPr>
      <w:r>
        <w:rPr>
          <w:rFonts w:ascii="Consolas" w:hAnsi="Consolas"/>
          <w:sz w:val="16"/>
        </w:rPr>
        <w:t>print("MCP imports OK")</w:t>
      </w:r>
    </w:p>
    <w:p>
      <w:pPr>
        <w:keepNext w:val="0"/>
        <w:spacing w:after="140" w:line="240" w:lineRule="auto"/>
      </w:pPr>
      <w:r>
        <w:rPr>
          <w:rFonts w:ascii="Consolas" w:hAnsi="Consolas"/>
          <w:sz w:val="16"/>
        </w:rPr>
        <w:t>'@ | .\.venv\Scripts\python.exe -</w:t>
      </w:r>
    </w:p>
    <w:p>
      <w:r>
        <w:t xml:space="preserve">The supplied lock file selects AutoGen 0.7.5 and MCP 1.30.0. If the lock file is unavailable, reinstall from </w:t>
      </w:r>
      <w:r>
        <w:rPr>
          <w:rFonts w:ascii="Consolas" w:hAnsi="Consolas"/>
          <w:sz w:val="18"/>
        </w:rPr>
        <w:t>requirements.txt</w:t>
      </w:r>
      <w:r>
        <w:t xml:space="preserve">, which requires </w:t>
      </w:r>
      <w:r>
        <w:rPr>
          <w:rFonts w:ascii="Consolas" w:hAnsi="Consolas"/>
          <w:sz w:val="18"/>
        </w:rPr>
        <w:t>mcp&gt;=1.30,&lt;2</w:t>
      </w:r>
      <w:r>
        <w:t xml:space="preserve">. If you have an older Python 3.14 environment from the earlier error, create a new Python 3.13 environment using a different folder name, such as </w:t>
      </w:r>
      <w:r>
        <w:rPr>
          <w:rFonts w:ascii="Consolas" w:hAnsi="Consolas"/>
          <w:sz w:val="18"/>
        </w:rPr>
        <w:t>.venv313</w:t>
      </w:r>
      <w:r>
        <w:t xml:space="preserve">, and install the project there. Replace </w:t>
      </w:r>
      <w:r>
        <w:rPr>
          <w:rFonts w:ascii="Consolas" w:hAnsi="Consolas"/>
          <w:sz w:val="18"/>
        </w:rPr>
        <w:t>.venv</w:t>
      </w:r>
      <w:r>
        <w:t xml:space="preserve"> with that folder in subsequent commands.</w:t>
      </w:r>
    </w:p>
    <w:p>
      <w:r/>
      <w:r>
        <w:rPr>
          <w:b/>
        </w:rPr>
        <w:t>Python or py is not recognized</w:t>
      </w:r>
      <w:r/>
    </w:p>
    <w:p>
      <w:r>
        <w:t xml:space="preserve">Install Python 3.13 with the Windows launcher, then open a new terminal. If Python is already installed without the launcher, use the full path to its </w:t>
      </w:r>
      <w:r>
        <w:rPr>
          <w:rFonts w:ascii="Consolas" w:hAnsi="Consolas"/>
          <w:sz w:val="18"/>
        </w:rPr>
        <w:t>python.exe</w:t>
      </w:r>
      <w:r>
        <w:t xml:space="preserve"> to create the virtual environment.</w:t>
      </w:r>
    </w:p>
    <w:p>
      <w:r/>
      <w:r>
        <w:rPr>
          <w:b/>
        </w:rPr>
        <w:t>Unable to connect to the Billing Agent API</w:t>
      </w:r>
      <w:r/>
    </w:p>
    <w:p>
      <w:r>
        <w:t xml:space="preserve">Keep the API terminal running and inspect its startup error, if any. Confirm API_URL points to the host and port configured for the backend. Restart Streamlit after editing </w:t>
      </w:r>
      <w:r>
        <w:rPr>
          <w:rFonts w:ascii="Consolas" w:hAnsi="Consolas"/>
          <w:sz w:val="18"/>
        </w:rPr>
        <w:t>.env</w:t>
      </w:r>
      <w:r>
        <w:t>.</w:t>
      </w:r>
    </w:p>
    <w:p>
      <w:r/>
      <w:r>
        <w:rPr>
          <w:b/>
        </w:rPr>
        <w:t>HTTP 401 Invalid API key from the local backend</w:t>
      </w:r>
      <w:r/>
    </w:p>
    <w:p>
      <w:r>
        <w:t>The UI or caller is missing the matching BILLING_API_KEY in the X-API-Key header. This local API credential is separate from AZURE_OPENAI_API_KEY.</w:t>
      </w:r>
    </w:p>
    <w:p>
      <w:r/>
      <w:r>
        <w:rPr>
          <w:b/>
        </w:rPr>
        <w:t>Azure errors or model configuration missing</w:t>
      </w:r>
      <w:r/>
    </w:p>
    <w:p>
      <w:r>
        <w:t>Complete all five Azure fields. Check that the endpoint and key belong to the same resource, the deployment name is exact, the model supports tool calling, and the API version is supported. Health can report configuration complete even when Azure rejects a request. Inspect the backend log for the underlying provider error. Azure rate limits or quota exhaustion can also prevent responses.</w:t>
      </w:r>
    </w:p>
    <w:p>
      <w:r/>
      <w:r>
        <w:rPr>
          <w:b/>
        </w:rPr>
        <w:t>Port already in use</w:t>
      </w:r>
      <w:r/>
    </w:p>
    <w:p>
      <w:r>
        <w:t xml:space="preserve">Stop the old API process, or change API_PORT to another free port and update API_URL to match. Restart both processes. A Streamlit port conflict can be resolved with </w:t>
      </w:r>
      <w:r>
        <w:rPr>
          <w:rFonts w:ascii="Consolas" w:hAnsi="Consolas"/>
          <w:sz w:val="18"/>
        </w:rPr>
        <w:t>--server.port 8502</w:t>
      </w:r>
      <w:r>
        <w:t xml:space="preserve"> appended to its launch command.</w:t>
      </w:r>
    </w:p>
    <w:p>
      <w:r/>
      <w:r>
        <w:rPr>
          <w:b/>
        </w:rPr>
        <w:t>No records returned or seed insertion refused</w:t>
      </w:r>
      <w:r/>
    </w:p>
    <w:p>
      <w:r>
        <w:t>Confirm BILLING_DB points to the expected file. Startup alone does not add sample customers. A repeat synthetic seed is skipped after its marker is found; a database near the generator's row limit can reject new records. Inspect the reported reason instead of deleting an existing database.</w:t>
      </w:r>
    </w:p>
    <w:p>
      <w:r/>
      <w:r>
        <w:rPr>
          <w:b/>
        </w:rPr>
        <w:t>A request times out after an order or refund action</w:t>
      </w:r>
      <w:r/>
    </w:p>
    <w:p>
      <w:r>
        <w:t>Check the stored order state before repeating the operation with a new request ID. The write may have completed even though the final model answer did not arrive. Increasing CHAT_TIMEOUT_SECONDS permits a longer wait but does not correct invalid Azure credentials or dependency errors.</w:t>
      </w:r>
    </w:p>
    <w:sectPr w:rsidR="00FC693F" w:rsidRPr="0006063C" w:rsidSect="00034616">
      <w:pgSz w:w="11909" w:h="16834"/>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Billing Agent Setup Guide</dc:title>
  <dc:subject>Windows setup for the original six tool version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