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Billing Agent Setup Guide</w:t>
      </w:r>
    </w:p>
    <w:p>
      <w:pPr>
        <w:spacing w:after="200"/>
      </w:pPr>
      <w:r>
        <w:rPr>
          <w:sz w:val="24"/>
        </w:rPr>
        <w:t>Windows installation and operating guide</w:t>
      </w:r>
    </w:p>
    <w:p>
      <w:pPr>
        <w:widowControl/>
      </w:pPr>
      <w:r>
        <w:t>This guide explains how to install the application, configure Azure OpenAI, start the API and chat interface, and use customer and staff access. Run the commands from the project folder containing app.py, .env.example and requirements-lock.txt.</w:t>
      </w:r>
    </w:p>
    <w:p>
      <w:pPr>
        <w:pStyle w:val="Caption"/>
        <w:keepNext/>
        <w:spacing w:after="80"/>
      </w:pPr>
      <w:r>
        <w:rPr>
          <w:color w:val="000000"/>
          <w:sz w:val="20"/>
        </w:rPr>
        <w:t>Installation and startup sequence</w:t>
      </w:r>
    </w:p>
    <w:p>
      <w:pPr>
        <w:spacing w:after="160"/>
        <w:jc w:val="center"/>
      </w:pPr>
      <w:r>
        <w:drawing>
          <wp:inline xmlns:a="http://schemas.openxmlformats.org/drawingml/2006/main" xmlns:pic="http://schemas.openxmlformats.org/drawingml/2006/picture">
            <wp:extent cx="6080760" cy="1094537"/>
            <wp:docPr id="1" name="Picture 1" descr="Installation and startup sequence"/>
            <wp:cNvGraphicFramePr>
              <a:graphicFrameLocks noChangeAspect="1"/>
            </wp:cNvGraphicFramePr>
            <a:graphic>
              <a:graphicData uri="http://schemas.openxmlformats.org/drawingml/2006/picture">
                <pic:pic>
                  <pic:nvPicPr>
                    <pic:cNvPr id="0" name="setup_flow.png"/>
                    <pic:cNvPicPr/>
                  </pic:nvPicPr>
                  <pic:blipFill>
                    <a:blip r:embed="rId11"/>
                    <a:stretch>
                      <a:fillRect/>
                    </a:stretch>
                  </pic:blipFill>
                  <pic:spPr>
                    <a:xfrm>
                      <a:off x="0" y="0"/>
                      <a:ext cx="6080760" cy="1094537"/>
                    </a:xfrm>
                    <a:prstGeom prst="rect"/>
                  </pic:spPr>
                </pic:pic>
              </a:graphicData>
            </a:graphic>
          </wp:inline>
        </w:drawing>
      </w:r>
    </w:p>
    <w:p>
      <w:pPr>
        <w:pStyle w:val="Heading1"/>
      </w:pPr>
      <w:r>
        <w:t>Prepare the environment</w:t>
      </w:r>
    </w:p>
    <w:p>
      <w:pPr>
        <w:widowControl/>
      </w:pPr>
      <w:r>
        <w:t>Use Python 3.13 with the Windows Python launcher, PowerShell, internet access for package installation and a working Azure OpenAI deployment that supports chat and tool calling. Keep the complete project folder together.</w:t>
      </w:r>
    </w:p>
    <w:p>
      <w:pPr>
        <w:widowControl/>
      </w:pPr>
      <w:r>
        <w:t>Open PowerShell in your project folder. The example location below can be replaced with your actual installation path.</w:t>
      </w:r>
    </w:p>
    <w:p>
      <w:pPr>
        <w:keepLines/>
        <w:spacing w:before="100" w:after="160" w:line="259" w:lineRule="auto"/>
        <w:ind w:left="144" w:right="86"/>
        <w:shd w:fill="F2F4F7"/>
      </w:pPr>
      <w:r>
        <w:rPr>
          <w:rFonts w:ascii="Consolas" w:hAnsi="Consolas"/>
          <w:color w:val="000000"/>
          <w:sz w:val="19"/>
        </w:rPr>
        <w:t>Set-Location "$env:USERPROFILE\Desktop\billing_agent"</w:t>
        <w:br/>
        <w:t>py -3.13 -m venv .venv</w:t>
        <w:br/>
        <w:t>.\.venv\Scripts\python.exe -m pip install --upgrade pip</w:t>
        <w:br/>
        <w:t>.\.venv\Scripts\python.exe -m pip install -r requirements-lock.txt</w:t>
        <w:br/>
        <w:t>.\.venv\Scripts\python.exe -m pip check</w:t>
      </w:r>
    </w:p>
    <w:p>
      <w:pPr>
        <w:widowControl/>
      </w:pPr>
      <w:r>
        <w:t>Use the virtual environment interpreter directly for every command. PowerShell activation is not required. A successful pip check reports no broken requirements.</w:t>
      </w:r>
    </w:p>
    <w:p>
      <w:pPr>
        <w:pStyle w:val="Heading2"/>
      </w:pPr>
      <w:r>
        <w:t>Create the local configuration</w:t>
      </w:r>
    </w:p>
    <w:p>
      <w:pPr>
        <w:keepLines/>
        <w:spacing w:before="100" w:after="160" w:line="259" w:lineRule="auto"/>
        <w:ind w:left="144" w:right="86"/>
        <w:shd w:fill="F2F4F7"/>
      </w:pPr>
      <w:r>
        <w:rPr>
          <w:rFonts w:ascii="Consolas" w:hAnsi="Consolas"/>
          <w:color w:val="000000"/>
          <w:sz w:val="19"/>
        </w:rPr>
        <w:t>if (-not (Test-Path .env)) { Copy-Item .env.example .env }</w:t>
        <w:br/>
        <w:t>notepad .env</w:t>
      </w:r>
    </w:p>
    <w:p>
      <w:pPr>
        <w:widowControl/>
      </w:pPr>
      <w:r>
        <w:t>Edit an existing .env instead of replacing it. Editing .env.example alone does not configure the application. Keep your existing application files and store records when replacing source files.</w:t>
      </w:r>
    </w:p>
    <w:p>
      <w:pPr>
        <w:pStyle w:val="Heading1"/>
        <w:pageBreakBefore/>
      </w:pPr>
      <w:r>
        <w:t>Configure Azure and staff access</w:t>
      </w:r>
    </w:p>
    <w:p>
      <w:pPr>
        <w:widowControl/>
      </w:pPr>
      <w:r>
        <w:t>Replace the illustrative Azure values in .env with the values for your own resource and deployment. The resource key, endpoint and deployment must belong together.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60"/>
        <w:gridCol w:w="6019"/>
      </w:tblGrid>
      <w:tr>
        <w:trPr>
          <w:cantSplit/>
          <w:tblHeader/>
        </w:trPr>
        <w:tc>
          <w:tcPr>
            <w:tcW w:type="dxa" w:w="3960"/>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Setting</w:t>
            </w:r>
          </w:p>
        </w:tc>
        <w:tc>
          <w:tcPr>
            <w:tcW w:type="dxa" w:w="6019"/>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What to enter</w:t>
            </w:r>
          </w:p>
        </w:tc>
      </w:tr>
      <w:tr>
        <w:trPr>
          <w:cantSplit/>
        </w:trPr>
        <w:tc>
          <w:tcPr>
            <w:tcW w:type="dxa" w:w="396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AZURE_OPENAI_ENDPOINT</w:t>
            </w:r>
          </w:p>
        </w:tc>
        <w:tc>
          <w:tcPr>
            <w:tcW w:type="dxa" w:w="6019"/>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The HTTPS root URL of the Azure resource, such as https://your-resource.openai.azure.com. Do not append a deployment or chat route.</w:t>
            </w:r>
          </w:p>
        </w:tc>
      </w:tr>
      <w:tr>
        <w:trPr>
          <w:cantSplit/>
        </w:trPr>
        <w:tc>
          <w:tcPr>
            <w:tcW w:type="dxa" w:w="3960"/>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AZURE_OPENAI_API_KEY</w:t>
            </w:r>
          </w:p>
        </w:tc>
        <w:tc>
          <w:tcPr>
            <w:tcW w:type="dxa" w:w="6019"/>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The secret key issued for that Azure resource. Enter it locally in .env.</w:t>
            </w:r>
          </w:p>
        </w:tc>
      </w:tr>
      <w:tr>
        <w:trPr>
          <w:cantSplit/>
        </w:trPr>
        <w:tc>
          <w:tcPr>
            <w:tcW w:type="dxa" w:w="396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AZURE_OPENAI_DEPLOYMENT</w:t>
            </w:r>
          </w:p>
        </w:tc>
        <w:tc>
          <w:tcPr>
            <w:tcW w:type="dxa" w:w="6019"/>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The exact Azure deployment name. This can be different from the underlying model name.</w:t>
            </w:r>
          </w:p>
        </w:tc>
      </w:tr>
      <w:tr>
        <w:trPr>
          <w:cantSplit/>
        </w:trPr>
        <w:tc>
          <w:tcPr>
            <w:tcW w:type="dxa" w:w="3960"/>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AZURE_OPENAI_MODEL</w:t>
            </w:r>
          </w:p>
        </w:tc>
        <w:tc>
          <w:tcPr>
            <w:tcW w:type="dxa" w:w="6019"/>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The actual model name used by that deployment. Match your deployed model rather than copying the example.</w:t>
            </w:r>
          </w:p>
        </w:tc>
      </w:tr>
      <w:tr>
        <w:trPr>
          <w:cantSplit/>
        </w:trPr>
        <w:tc>
          <w:tcPr>
            <w:tcW w:type="dxa" w:w="396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AZURE_OPENAI_API_VERSION</w:t>
            </w:r>
          </w:p>
        </w:tc>
        <w:tc>
          <w:tcPr>
            <w:tcW w:type="dxa" w:w="6019"/>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The Azure API date supported by your deployment and chat client. Use the value accepted by that resource.</w:t>
            </w:r>
          </w:p>
        </w:tc>
      </w:tr>
      <w:tr>
        <w:trPr>
          <w:cantSplit/>
        </w:trPr>
        <w:tc>
          <w:tcPr>
            <w:tcW w:type="dxa" w:w="3960"/>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BILLING_ADMIN_API_KEY</w:t>
            </w:r>
          </w:p>
        </w:tc>
        <w:tc>
          <w:tcPr>
            <w:tcW w:type="dxa" w:w="6019"/>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A separate admin secret of at least 16 characters. Leave blank to disable admin access.</w:t>
            </w:r>
          </w:p>
        </w:tc>
      </w:tr>
      <w:tr>
        <w:trPr>
          <w:cantSplit/>
        </w:trPr>
        <w:tc>
          <w:tcPr>
            <w:tcW w:type="dxa" w:w="396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BILLING_CASHIER_API_KEY</w:t>
            </w:r>
          </w:p>
        </w:tc>
        <w:tc>
          <w:tcPr>
            <w:tcW w:type="dxa" w:w="6019"/>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A separate cashier secret of at least 16 characters. Leave blank to disable cashier access.</w:t>
            </w:r>
          </w:p>
        </w:tc>
      </w:tr>
    </w:tbl>
    <w:p>
      <w:pPr>
        <w:spacing w:after="20"/>
      </w:pPr>
    </w:p>
    <w:p>
      <w:pPr>
        <w:pStyle w:val="Heading2"/>
      </w:pPr>
      <w:r>
        <w:t>Choose separate staff secrets</w:t>
      </w:r>
    </w:p>
    <w:p>
      <w:pPr>
        <w:widowControl/>
      </w:pPr>
      <w:r>
        <w:t>Admin and cashier secrets must be different from each other and from any other configured access secret. Generate a fresh random value separately for each role, then paste it into the matching .env field.</w:t>
      </w:r>
    </w:p>
    <w:p>
      <w:pPr>
        <w:keepLines/>
        <w:spacing w:before="100" w:after="160" w:line="259" w:lineRule="auto"/>
        <w:ind w:left="144" w:right="86"/>
        <w:shd w:fill="F2F4F7"/>
      </w:pPr>
      <w:r>
        <w:rPr>
          <w:rFonts w:ascii="Consolas" w:hAnsi="Consolas"/>
          <w:color w:val="000000"/>
          <w:sz w:val="19"/>
        </w:rPr>
        <w:t>.\.venv\Scripts\python.exe -c "import secrets;print(secrets.token_urlsafe(32))"</w:t>
      </w:r>
    </w:p>
    <w:p>
      <w:pPr>
        <w:widowControl/>
      </w:pPr>
      <w:r>
        <w:t>Keep credentials out of chat and screenshots. Restart the API and interface after configuration changes. Existing process environment variables can override values loaded from .env.</w:t>
      </w:r>
    </w:p>
    <w:p>
      <w:pPr>
        <w:pStyle w:val="Heading1"/>
        <w:pageBreakBefore/>
      </w:pPr>
      <w:r>
        <w:t>Set local operating options</w:t>
      </w:r>
    </w:p>
    <w:p>
      <w:pPr>
        <w:widowControl/>
      </w:pPr>
      <w:r>
        <w:t>Keep the local addresses below unless the service is being deployed with a separately managed access and network configuration.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60"/>
        <w:gridCol w:w="6019"/>
      </w:tblGrid>
      <w:tr>
        <w:trPr>
          <w:cantSplit/>
          <w:tblHeader/>
        </w:trPr>
        <w:tc>
          <w:tcPr>
            <w:tcW w:type="dxa" w:w="3960"/>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Setting</w:t>
            </w:r>
          </w:p>
        </w:tc>
        <w:tc>
          <w:tcPr>
            <w:tcW w:type="dxa" w:w="6019"/>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Meaning and default</w:t>
            </w:r>
          </w:p>
        </w:tc>
      </w:tr>
      <w:tr>
        <w:trPr>
          <w:cantSplit/>
        </w:trPr>
        <w:tc>
          <w:tcPr>
            <w:tcW w:type="dxa" w:w="396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API_HOST</w:t>
            </w:r>
          </w:p>
        </w:tc>
        <w:tc>
          <w:tcPr>
            <w:tcW w:type="dxa" w:w="6019"/>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API listening address. Use 127.0.0.1 for this local setup.</w:t>
            </w:r>
          </w:p>
        </w:tc>
      </w:tr>
      <w:tr>
        <w:trPr>
          <w:cantSplit/>
        </w:trPr>
        <w:tc>
          <w:tcPr>
            <w:tcW w:type="dxa" w:w="3960"/>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API_PORT</w:t>
            </w:r>
          </w:p>
        </w:tc>
        <w:tc>
          <w:tcPr>
            <w:tcW w:type="dxa" w:w="6019"/>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API port. Default 8000.</w:t>
            </w:r>
          </w:p>
        </w:tc>
      </w:tr>
      <w:tr>
        <w:trPr>
          <w:cantSplit/>
        </w:trPr>
        <w:tc>
          <w:tcPr>
            <w:tcW w:type="dxa" w:w="396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API_URL</w:t>
            </w:r>
          </w:p>
        </w:tc>
        <w:tc>
          <w:tcPr>
            <w:tcW w:type="dxa" w:w="6019"/>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Address used by the interface. Default http://127.0.0.1:8000. It must match the API host and port.</w:t>
            </w:r>
          </w:p>
        </w:tc>
      </w:tr>
      <w:tr>
        <w:trPr>
          <w:cantSplit/>
        </w:trPr>
        <w:tc>
          <w:tcPr>
            <w:tcW w:type="dxa" w:w="3960"/>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CASHIER_REFUND_LIMIT</w:t>
            </w:r>
          </w:p>
        </w:tc>
        <w:tc>
          <w:tcPr>
            <w:tcW w:type="dxa" w:w="6019"/>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Inclusive cashier approval limit. Default 100.00.</w:t>
            </w:r>
          </w:p>
        </w:tc>
      </w:tr>
      <w:tr>
        <w:trPr>
          <w:cantSplit/>
        </w:trPr>
        <w:tc>
          <w:tcPr>
            <w:tcW w:type="dxa" w:w="396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CASHIER_REFUND_CURRENCY</w:t>
            </w:r>
          </w:p>
        </w:tc>
        <w:tc>
          <w:tcPr>
            <w:tcW w:type="dxa" w:w="6019"/>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Currency for that limit. Default USD. Requests in another currency require admin approval.</w:t>
            </w:r>
          </w:p>
        </w:tc>
      </w:tr>
      <w:tr>
        <w:trPr>
          <w:cantSplit/>
        </w:trPr>
        <w:tc>
          <w:tcPr>
            <w:tcW w:type="dxa" w:w="3960"/>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RETURN_WINDOW_DAYS</w:t>
            </w:r>
          </w:p>
        </w:tc>
        <w:tc>
          <w:tcPr>
            <w:tcW w:type="dxa" w:w="6019"/>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Inclusive return window from order date. Default 30 days, using UTC calendar dates. Checked at request and approval.</w:t>
            </w:r>
          </w:p>
        </w:tc>
      </w:tr>
      <w:tr>
        <w:trPr>
          <w:cantSplit/>
        </w:trPr>
        <w:tc>
          <w:tcPr>
            <w:tcW w:type="dxa" w:w="396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CHAT_TIMEOUT_SECONDS</w:t>
            </w:r>
          </w:p>
        </w:tc>
        <w:tc>
          <w:tcPr>
            <w:tcW w:type="dxa" w:w="6019"/>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Overall agent and model timeout. Default 180 seconds. Increasing it permits a longer wait; it does not make the model respond faster.</w:t>
            </w:r>
          </w:p>
        </w:tc>
      </w:tr>
      <w:tr>
        <w:trPr>
          <w:cantSplit/>
        </w:trPr>
        <w:tc>
          <w:tcPr>
            <w:tcW w:type="dxa" w:w="3960"/>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MAX_TOOL_ITERATIONS</w:t>
            </w:r>
          </w:p>
        </w:tc>
        <w:tc>
          <w:tcPr>
            <w:tcW w:type="dxa" w:w="6019"/>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Maximum tool rounds in a turn. Default 12. Accepted range 2 to 20. Simple answers stop earlier.</w:t>
            </w:r>
          </w:p>
        </w:tc>
      </w:tr>
      <w:tr>
        <w:trPr>
          <w:cantSplit/>
        </w:trPr>
        <w:tc>
          <w:tcPr>
            <w:tcW w:type="dxa" w:w="396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SQL_MAX_ROWS</w:t>
            </w:r>
          </w:p>
        </w:tc>
        <w:tc>
          <w:tcPr>
            <w:tcW w:type="dxa" w:w="6019"/>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Ordinary read-result limit. Default 200, within 1 to 1000. This limits returned rows, not the number of products in the store.</w:t>
            </w:r>
          </w:p>
        </w:tc>
      </w:tr>
      <w:tr>
        <w:trPr>
          <w:cantSplit/>
        </w:trPr>
        <w:tc>
          <w:tcPr>
            <w:tcW w:type="dxa" w:w="3960"/>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AZURE_OPENAI_REASONING_EFFORT</w:t>
            </w:r>
          </w:p>
        </w:tc>
        <w:tc>
          <w:tcPr>
            <w:tcW w:type="dxa" w:w="6019"/>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Optional model setting. Leave blank to preserve the deployment default. Any explicit setting must be supported by the model and Azure API date.</w:t>
            </w:r>
          </w:p>
        </w:tc>
      </w:tr>
    </w:tbl>
    <w:p>
      <w:pPr>
        <w:spacing w:after="20"/>
      </w:pPr>
    </w:p>
    <w:p>
      <w:pPr>
        <w:widowControl/>
      </w:pPr>
      <w:r>
        <w:t>The approval limit does not allow staff to create a refund request for a customer. A cashier or admin can approve only an existing eligible customer request with its recorded amount and terms unchanged.</w:t>
      </w:r>
    </w:p>
    <w:p>
      <w:pPr>
        <w:pStyle w:val="Heading1"/>
        <w:pageBreakBefore/>
      </w:pPr>
      <w:r>
        <w:t>Start the application and sign in</w:t>
      </w:r>
    </w:p>
    <w:p>
      <w:pPr>
        <w:pStyle w:val="Heading2"/>
      </w:pPr>
      <w:r>
        <w:t>Start the API</w:t>
      </w:r>
    </w:p>
    <w:p>
      <w:pPr>
        <w:widowControl/>
      </w:pPr>
      <w:r>
        <w:t>In the first PowerShell terminal, run this command from the project folder and wait for startup to complete. Keep the terminal open.</w:t>
      </w:r>
    </w:p>
    <w:p>
      <w:pPr>
        <w:keepLines/>
        <w:spacing w:before="100" w:after="160" w:line="259" w:lineRule="auto"/>
        <w:ind w:left="144" w:right="86"/>
        <w:shd w:fill="F2F4F7"/>
      </w:pPr>
      <w:r>
        <w:rPr>
          <w:rFonts w:ascii="Consolas" w:hAnsi="Consolas"/>
          <w:color w:val="000000"/>
          <w:sz w:val="19"/>
        </w:rPr>
        <w:t>.\.venv\Scripts\python.exe app.py</w:t>
      </w:r>
    </w:p>
    <w:p>
      <w:pPr>
        <w:widowControl/>
      </w:pPr>
      <w:r>
        <w:t>The API normally listens at http://127.0.0.1:8000. It starts the local MCP tool process automatically. Do not start another MCP server manually.</w:t>
      </w:r>
    </w:p>
    <w:p>
      <w:pPr>
        <w:pStyle w:val="Heading2"/>
      </w:pPr>
      <w:r>
        <w:t>Start the interface</w:t>
      </w:r>
    </w:p>
    <w:p>
      <w:pPr>
        <w:widowControl/>
      </w:pPr>
      <w:r>
        <w:t>Open a second PowerShell terminal in the same project folder and use the same virtual environment.</w:t>
      </w:r>
    </w:p>
    <w:p>
      <w:pPr>
        <w:keepLines/>
        <w:spacing w:before="100" w:after="160" w:line="259" w:lineRule="auto"/>
        <w:ind w:left="144" w:right="86"/>
        <w:shd w:fill="F2F4F7"/>
      </w:pPr>
      <w:r>
        <w:rPr>
          <w:rFonts w:ascii="Consolas" w:hAnsi="Consolas"/>
          <w:color w:val="000000"/>
          <w:sz w:val="19"/>
        </w:rPr>
        <w:t>.\.venv\Scripts\python.exe -m streamlit run ui/streamlit_app.py</w:t>
      </w:r>
    </w:p>
    <w:p>
      <w:pPr>
        <w:widowControl/>
      </w:pPr>
      <w:r>
        <w:t>Open the address printed by Streamlit, normally http://localhost:8501. Expand the sidebar to choose an access mode.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368"/>
        <w:gridCol w:w="3960"/>
        <w:gridCol w:w="4651"/>
      </w:tblGrid>
      <w:tr>
        <w:trPr>
          <w:cantSplit/>
          <w:tblHeader/>
        </w:trPr>
        <w:tc>
          <w:tcPr>
            <w:tcW w:type="dxa" w:w="1368"/>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Mode</w:t>
            </w:r>
          </w:p>
        </w:tc>
        <w:tc>
          <w:tcPr>
            <w:tcW w:type="dxa" w:w="3960"/>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How to enter</w:t>
            </w:r>
          </w:p>
        </w:tc>
        <w:tc>
          <w:tcPr>
            <w:tcW w:type="dxa" w:w="4651"/>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What it is used for</w:t>
            </w:r>
          </w:p>
        </w:tc>
      </w:tr>
      <w:tr>
        <w:trPr>
          <w:cantSplit/>
        </w:trPr>
        <w:tc>
          <w:tcPr>
            <w:tcW w:type="dxa" w:w="1368"/>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Customer</w:t>
            </w:r>
          </w:p>
        </w:tc>
        <w:tc>
          <w:tcPr>
            <w:tcW w:type="dxa" w:w="396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Browse publicly, or open Customer account and choose Sign in or Create account.</w:t>
            </w:r>
          </w:p>
        </w:tc>
        <w:tc>
          <w:tcPr>
            <w:tcW w:type="dxa" w:w="4651"/>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Shopping questions. Verified sign-in is required for personal orders, invoices, profile changes and refund requests.</w:t>
            </w:r>
          </w:p>
        </w:tc>
      </w:tr>
      <w:tr>
        <w:trPr>
          <w:cantSplit/>
        </w:trPr>
        <w:tc>
          <w:tcPr>
            <w:tcW w:type="dxa" w:w="1368"/>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Cashier</w:t>
            </w:r>
          </w:p>
        </w:tc>
        <w:tc>
          <w:tcPr>
            <w:tcW w:type="dxa" w:w="3960"/>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Enter the cashier secret and select Unlock cashier mode.</w:t>
            </w:r>
          </w:p>
        </w:tc>
        <w:tc>
          <w:tcPr>
            <w:tcW w:type="dxa" w:w="4651"/>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Permitted records and eligible pending-refund approvals within the configured amount and currency.</w:t>
            </w:r>
          </w:p>
        </w:tc>
      </w:tr>
      <w:tr>
        <w:trPr>
          <w:cantSplit/>
        </w:trPr>
        <w:tc>
          <w:tcPr>
            <w:tcW w:type="dxa" w:w="1368"/>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Admin</w:t>
            </w:r>
          </w:p>
        </w:tc>
        <w:tc>
          <w:tcPr>
            <w:tcW w:type="dxa" w:w="3960"/>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Enter the admin secret and select Unlock admin mode.</w:t>
            </w:r>
          </w:p>
        </w:tc>
        <w:tc>
          <w:tcPr>
            <w:tcW w:type="dxa" w:w="4651"/>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Store reports, record review, eligible refund approvals and confirmed shipment or delivery updates.</w:t>
            </w:r>
          </w:p>
        </w:tc>
      </w:tr>
    </w:tbl>
    <w:p>
      <w:pPr>
        <w:spacing w:after="20"/>
      </w:pPr>
    </w:p>
    <w:p>
      <w:pPr>
        <w:widowControl/>
      </w:pPr>
      <w:r>
        <w:t>The optional Customer ID in a staff mode is a record filter, not the staff login. Changing modes clears the active conversation and credentials. Use the matching mode and account when resuming a saved conversation.</w:t>
      </w:r>
    </w:p>
    <w:p>
      <w:pPr>
        <w:pStyle w:val="Heading1"/>
        <w:pageBreakBefore/>
      </w:pPr>
      <w:r>
        <w:t>Check access and verify the workflow</w:t>
      </w:r>
    </w:p>
    <w:p>
      <w:pPr>
        <w:pStyle w:val="Heading2"/>
      </w:pPr>
      <w:r>
        <w:t>Customer credentials</w:t>
      </w:r>
    </w:p>
    <w:p>
      <w:pPr>
        <w:widowControl/>
      </w:pPr>
      <w:r>
        <w:t>New customers create a unique customer ID, name and password through the account form. Company and email are optional. Existing customers must sign in; knowing an ID or email cannot be used to claim that account through registration. Passwords must contain 10 to 128 characters.</w:t>
      </w:r>
    </w:p>
    <w:p>
      <w:pPr>
        <w:widowControl/>
      </w:pPr>
      <w:r>
        <w:t>Customer sessions last 12 hours. Five failed sign-in attempts lock the account for 15 minutes. There is no customer-facing password-change screen. After independently verifying the customer, trusted staff can set a separate password locally using the existing customer ID.</w:t>
      </w:r>
    </w:p>
    <w:p>
      <w:pPr>
        <w:keepLines/>
        <w:spacing w:before="100" w:after="160" w:line="259" w:lineRule="auto"/>
        <w:ind w:left="144" w:right="86"/>
        <w:shd w:fill="F2F4F7"/>
      </w:pPr>
      <w:r>
        <w:rPr>
          <w:rFonts w:ascii="Consolas" w:hAnsi="Consolas"/>
          <w:color w:val="000000"/>
          <w:sz w:val="19"/>
        </w:rPr>
        <w:t>.\.venv\Scripts\python.exe -m api.customer_auth `</w:t>
        <w:br/>
        <w:t xml:space="preserve">  --customer-id STORE-CUST-0005</w:t>
      </w:r>
    </w:p>
    <w:p>
      <w:pPr>
        <w:widowControl/>
      </w:pPr>
      <w:r>
        <w:t>Replace the example ID with the actual customer ID. The command prompts twice without displaying the password, clears failed-attempt lock state and signs out that customer’s existing sessions.</w:t>
      </w:r>
    </w:p>
    <w:p>
      <w:pPr>
        <w:pStyle w:val="Heading2"/>
      </w:pPr>
      <w:r>
        <w:t>Run practical checks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16"/>
        <w:gridCol w:w="6163"/>
      </w:tblGrid>
      <w:tr>
        <w:trPr>
          <w:cantSplit/>
          <w:tblHeader/>
        </w:trPr>
        <w:tc>
          <w:tcPr>
            <w:tcW w:type="dxa" w:w="3816"/>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Check</w:t>
            </w:r>
          </w:p>
        </w:tc>
        <w:tc>
          <w:tcPr>
            <w:tcW w:type="dxa" w:w="6163"/>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Expected result</w:t>
            </w:r>
          </w:p>
        </w:tc>
      </w:tr>
      <w:tr>
        <w:trPr>
          <w:cantSplit/>
        </w:trPr>
        <w:tc>
          <w:tcPr>
            <w:tcW w:type="dxa" w:w="3816"/>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Ask what products are available.</w:t>
            </w:r>
          </w:p>
        </w:tc>
        <w:tc>
          <w:tcPr>
            <w:tcW w:type="dxa" w:w="6163"/>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The response distinguishes total matches from the displayed page. Try names with spaces, underscores or different case.</w:t>
            </w:r>
          </w:p>
        </w:tc>
      </w:tr>
      <w:tr>
        <w:trPr>
          <w:cantSplit/>
        </w:trPr>
        <w:tc>
          <w:tcPr>
            <w:tcW w:type="dxa" w:w="3816"/>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Ask to list all coupon codes.</w:t>
            </w:r>
          </w:p>
        </w:tc>
        <w:tc>
          <w:tcPr>
            <w:tcW w:type="dxa" w:w="6163"/>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The customer is asked to supply an exact code. The bot does not list store coupon codes or select the largest discount.</w:t>
            </w:r>
          </w:p>
        </w:tc>
      </w:tr>
      <w:tr>
        <w:trPr>
          <w:cantSplit/>
        </w:trPr>
        <w:tc>
          <w:tcPr>
            <w:tcW w:type="dxa" w:w="3816"/>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Ask whether your supplied code is valid.</w:t>
            </w:r>
          </w:p>
        </w:tc>
        <w:tc>
          <w:tcPr>
            <w:tcW w:type="dxa" w:w="6163"/>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Validation does not apply a discount. An explicit request is needed to apply the code to a draft.</w:t>
            </w:r>
          </w:p>
        </w:tc>
      </w:tr>
      <w:tr>
        <w:trPr>
          <w:cantSplit/>
        </w:trPr>
        <w:tc>
          <w:tcPr>
            <w:tcW w:type="dxa" w:w="3816"/>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Review a quote and request a pro forma invoice.</w:t>
            </w:r>
          </w:p>
        </w:tc>
        <w:tc>
          <w:tcPr>
            <w:tcW w:type="dxa" w:w="6163"/>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The quote remains a draft and the document is an estimate. Placement requires checkout approval.</w:t>
            </w:r>
          </w:p>
        </w:tc>
      </w:tr>
      <w:tr>
        <w:trPr>
          <w:cantSplit/>
        </w:trPr>
        <w:tc>
          <w:tcPr>
            <w:tcW w:type="dxa" w:w="3816"/>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Check an existing refund as authorized staff.</w:t>
            </w:r>
          </w:p>
        </w:tc>
        <w:tc>
          <w:tcPr>
            <w:tcW w:type="dxa" w:w="6163"/>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The record shows a local request/approval status. Approval is rejected without a genuine pending customer request.</w:t>
            </w:r>
          </w:p>
        </w:tc>
      </w:tr>
    </w:tbl>
    <w:p>
      <w:pPr>
        <w:spacing w:after="20"/>
      </w:pPr>
    </w:p>
    <w:p>
      <w:pPr>
        <w:widowControl/>
      </w:pPr>
      <w:r>
        <w:t>Use an account approved for verification before placing an order or approving a refund. The sidebar configuration message checks local settings; sending a message verifies a real Azure request.</w:t>
      </w:r>
    </w:p>
    <w:p>
      <w:pPr>
        <w:pStyle w:val="Heading2"/>
      </w:pPr>
      <w:r>
        <w:t>Run automated checks when needed</w:t>
      </w:r>
    </w:p>
    <w:p>
      <w:pPr>
        <w:keepLines/>
        <w:spacing w:before="100" w:after="160" w:line="259" w:lineRule="auto"/>
        <w:ind w:left="144" w:right="86"/>
        <w:shd w:fill="F2F4F7"/>
      </w:pPr>
      <w:r>
        <w:rPr>
          <w:rFonts w:ascii="Consolas" w:hAnsi="Consolas"/>
          <w:color w:val="000000"/>
          <w:sz w:val="19"/>
        </w:rPr>
        <w:t>.\.venv\Scripts\python.exe -m pip install -r requirements-dev.txt</w:t>
        <w:br/>
        <w:t>.\.venv\Scripts\python.exe -m pytest -q</w:t>
      </w:r>
    </w:p>
    <w:p>
      <w:pPr>
        <w:pStyle w:val="Heading1"/>
        <w:pageBreakBefore/>
      </w:pPr>
      <w:r>
        <w:t>Troubleshoot and operate safely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6811"/>
      </w:tblGrid>
      <w:tr>
        <w:trPr>
          <w:cantSplit/>
          <w:tblHeader/>
        </w:trPr>
        <w:tc>
          <w:tcPr>
            <w:tcW w:type="dxa" w:w="3168"/>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Symptom</w:t>
            </w:r>
          </w:p>
        </w:tc>
        <w:tc>
          <w:tcPr>
            <w:tcW w:type="dxa" w:w="6811"/>
            <w:vAlign w:val="center"/>
            <w:tcMar>
              <w:top w:w="75" w:type="dxa"/>
              <w:bottom w:w="75" w:type="dxa"/>
              <w:left w:w="100" w:type="dxa"/>
              <w:right w:w="100" w:type="dxa"/>
            </w:tcMar>
            <w:shd w:fill="294665"/>
          </w:tcPr>
          <w:p>
            <w:pPr>
              <w:spacing w:after="40" w:before="40" w:line="247" w:lineRule="auto"/>
              <w:jc w:val="left"/>
            </w:pPr>
            <w:r>
              <w:rPr>
                <w:rFonts w:ascii="Calibri" w:hAnsi="Calibri"/>
                <w:b/>
                <w:color w:val="FFFFFF"/>
                <w:sz w:val="20"/>
              </w:rPr>
              <w:t>Action</w:t>
            </w:r>
          </w:p>
        </w:tc>
      </w:tr>
      <w:tr>
        <w:trPr>
          <w:cantSplit/>
        </w:trPr>
        <w:tc>
          <w:tcPr>
            <w:tcW w:type="dxa" w:w="3168"/>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RequestContext import error</w:t>
            </w:r>
          </w:p>
        </w:tc>
        <w:tc>
          <w:tcPr>
            <w:tcW w:type="dxa" w:w="6811"/>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Use a fresh virtual environment and install requirements-lock.txt. Start the API and interface with that environment’s interpreter. Avoid mixing independently upgraded MCP and AutoGen packages.</w:t>
            </w:r>
          </w:p>
        </w:tc>
      </w:tr>
      <w:tr>
        <w:trPr>
          <w:cantSplit/>
        </w:trPr>
        <w:tc>
          <w:tcPr>
            <w:tcW w:type="dxa" w:w="3168"/>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Python launcher is unavailable</w:t>
            </w:r>
          </w:p>
        </w:tc>
        <w:tc>
          <w:tcPr>
            <w:tcW w:type="dxa" w:w="6811"/>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Install Python 3.13 with its Windows launcher, then reopen PowerShell. Alternatively use the full path of that Python interpreter to create .venv.</w:t>
            </w:r>
          </w:p>
        </w:tc>
      </w:tr>
      <w:tr>
        <w:trPr>
          <w:cantSplit/>
        </w:trPr>
        <w:tc>
          <w:tcPr>
            <w:tcW w:type="dxa" w:w="3168"/>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Interface cannot reach the API</w:t>
            </w:r>
          </w:p>
        </w:tc>
        <w:tc>
          <w:tcPr>
            <w:tcW w:type="dxa" w:w="6811"/>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Confirm the API terminal is running, inspect its startup error, and check that API_URL matches API_HOST and API_PORT.</w:t>
            </w:r>
          </w:p>
        </w:tc>
      </w:tr>
      <w:tr>
        <w:trPr>
          <w:cantSplit/>
        </w:trPr>
        <w:tc>
          <w:tcPr>
            <w:tcW w:type="dxa" w:w="3168"/>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Admin or cashier unlock fails</w:t>
            </w:r>
          </w:p>
        </w:tc>
        <w:tc>
          <w:tcPr>
            <w:tcW w:type="dxa" w:w="6811"/>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Check the matching role secret, the minimum length and separation from other access secrets. Restart both processes after editing .env.</w:t>
            </w:r>
          </w:p>
        </w:tc>
      </w:tr>
      <w:tr>
        <w:trPr>
          <w:cantSplit/>
        </w:trPr>
        <w:tc>
          <w:tcPr>
            <w:tcW w:type="dxa" w:w="3168"/>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Customer sign-in fails</w:t>
            </w:r>
          </w:p>
        </w:tc>
        <w:tc>
          <w:tcPr>
            <w:tcW w:type="dxa" w:w="6811"/>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Check the exact customer ID and password. Wait for an active lock to expire or use the verified local reset procedure. Registration cannot take over an existing account.</w:t>
            </w:r>
          </w:p>
        </w:tc>
      </w:tr>
      <w:tr>
        <w:trPr>
          <w:cantSplit/>
        </w:trPr>
        <w:tc>
          <w:tcPr>
            <w:tcW w:type="dxa" w:w="3168"/>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Azure rejects a request</w:t>
            </w:r>
          </w:p>
        </w:tc>
        <w:tc>
          <w:tcPr>
            <w:tcW w:type="dxa" w:w="6811"/>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Check the resource endpoint/key pairing, deployment name, model capabilities and accepted API date. Access restrictions, quota or deployment capacity can also cause rejection.</w:t>
            </w:r>
          </w:p>
        </w:tc>
      </w:tr>
      <w:tr>
        <w:trPr>
          <w:cantSplit/>
        </w:trPr>
        <w:tc>
          <w:tcPr>
            <w:tcW w:type="dxa" w:w="3168"/>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Azure connection error</w:t>
            </w:r>
          </w:p>
        </w:tc>
        <w:tc>
          <w:tcPr>
            <w:tcW w:type="dxa" w:w="6811"/>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Check the endpoint hostname, DNS, network connection, VPN, proxy, firewall and certificate configuration. A configured health response is not a live connection test.</w:t>
            </w:r>
          </w:p>
        </w:tc>
      </w:tr>
      <w:tr>
        <w:trPr>
          <w:cantSplit/>
        </w:trPr>
        <w:tc>
          <w:tcPr>
            <w:tcW w:type="dxa" w:w="3168"/>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Port is already occupied</w:t>
            </w:r>
          </w:p>
        </w:tc>
        <w:tc>
          <w:tcPr>
            <w:tcW w:type="dxa" w:w="6811"/>
            <w:vAlign w:val="center"/>
            <w:tcMar>
              <w:top w:w="75" w:type="dxa"/>
              <w:bottom w:w="75" w:type="dxa"/>
              <w:left w:w="100" w:type="dxa"/>
              <w:right w:w="100" w:type="dxa"/>
            </w:tcMar>
            <w:shd w:fill="F1F5FA"/>
          </w:tcPr>
          <w:p>
            <w:pPr>
              <w:spacing w:after="40" w:before="40" w:line="247" w:lineRule="auto"/>
              <w:jc w:val="left"/>
            </w:pPr>
            <w:r>
              <w:rPr>
                <w:rFonts w:ascii="Calibri" w:hAnsi="Calibri"/>
                <w:b w:val="0"/>
                <w:color w:val="000000"/>
                <w:sz w:val="20"/>
              </w:rPr>
              <w:t>Stop the previous service or choose another free port. Update API_URL to match. For the interface, append --server.port 8502 if needed.</w:t>
            </w:r>
          </w:p>
        </w:tc>
      </w:tr>
      <w:tr>
        <w:trPr>
          <w:cantSplit/>
        </w:trPr>
        <w:tc>
          <w:tcPr>
            <w:tcW w:type="dxa" w:w="3168"/>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Timeout after an order or refund action</w:t>
            </w:r>
          </w:p>
        </w:tc>
        <w:tc>
          <w:tcPr>
            <w:tcW w:type="dxa" w:w="6811"/>
            <w:vAlign w:val="center"/>
            <w:tcMar>
              <w:top w:w="75" w:type="dxa"/>
              <w:bottom w:w="75" w:type="dxa"/>
              <w:left w:w="100" w:type="dxa"/>
              <w:right w:w="100" w:type="dxa"/>
            </w:tcMar>
            <w:shd w:fill="FFFFFF"/>
          </w:tcPr>
          <w:p>
            <w:pPr>
              <w:spacing w:after="40" w:before="40" w:line="247" w:lineRule="auto"/>
              <w:jc w:val="left"/>
            </w:pPr>
            <w:r>
              <w:rPr>
                <w:rFonts w:ascii="Calibri" w:hAnsi="Calibri"/>
                <w:b w:val="0"/>
                <w:color w:val="000000"/>
                <w:sz w:val="20"/>
              </w:rPr>
              <w:t>Read the current order/refund state before submitting another change. An action can complete before the final response fails. Increasing the timeout does not fix credentials or network errors.</w:t>
            </w:r>
          </w:p>
        </w:tc>
      </w:tr>
    </w:tbl>
    <w:p>
      <w:pPr>
        <w:spacing w:after="20"/>
      </w:pPr>
    </w:p>
    <w:p>
      <w:pPr>
        <w:pStyle w:val="Heading2"/>
      </w:pPr>
      <w:r>
        <w:t>Restart and response time</w:t>
      </w:r>
    </w:p>
    <w:p>
      <w:pPr>
        <w:widowControl/>
      </w:pPr>
      <w:r>
        <w:t>Press Ctrl+C in each terminal to stop the API and interface. Restart them with the same commands. Keep existing store records, customer credentials, saved conversations and generated invoice files when updating application files.</w:t>
      </w:r>
    </w:p>
    <w:p>
      <w:pPr>
        <w:widowControl/>
      </w:pPr>
      <w:r>
        <w:t>Live response time depends on Azure inference, network access, tool rounds and queued requests. Performance logs separate model, tool and total-turn durations. A local automated test run does not establish live Azure response time or answer accuracy.</w:t>
      </w:r>
    </w:p>
    <w:p>
      <w:pPr>
        <w:widowControl/>
      </w:pPr>
      <w:r>
        <w:t>Refund approval records a local billing outcome. The application does not transfer money, verify bank receipt or send an external support ticket.</w:t>
      </w:r>
    </w:p>
    <w:sectPr w:rsidR="00FC693F" w:rsidRPr="0006063C" w:rsidSect="00034616">
      <w:headerReference w:type="default" r:id="rId9"/>
      <w:footerReference w:type="default" r:id="rId10"/>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000000"/>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5"/>
      <w:szCs w:val="26"/>
      <w:u w:val="none"/>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LinksUpToDate>false</ns0:LinksUpToDate>
  <ns0:CharactersWithSpaces>0</ns0:CharactersWithSpaces>
  <ns0:SharedDoc>false</ns0:SharedDoc>
  <ns0:HyperlinkBase/>
  <ns0:HyperlinksChanged>false</ns0:HyperlinksChanged>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Billing Agent Setup Guide</dc:title>
  <dc:subject>Windows installation and operating guide</dc:subject>
  <dc:creator/>
  <cp:keywords/>
  <dc:description/>
  <cp:lastModifiedBy/>
  <cp:revision>1</cp:revision>
  <dcterms:created xsi:type="dcterms:W3CDTF">2026-10-22T00:00:00Z</dcterms:created>
  <dcterms:modified xsi:type="dcterms:W3CDTF">2026-10-22T00:00:00Z</dcterms:modified>
  <cp:category/>
</cp:coreProperties>
</file>