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pP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8720"/>
      </w:tblGrid>
      <w:tr>
        <w:tc>
          <w:tcPr>
            <w:tcW w:type="dxa" w:w="8720"/>
            <w:tcBorders>
              <w:top w:val="none" w:color="FFFFFF" w:sz="0"/>
              <w:left w:val="none" w:color="FFFFFF" w:sz="0"/>
              <w:bottom w:val="none" w:color="FFFFFF" w:sz="0"/>
              <w:right w:val="none" w:color="FFFFFF" w:sz="0"/>
            </w:tcBorders>
            <w:shd w:fill="1A1A2E" w:val="clear"/>
            <w:tcMar>
              <w:top w:type="dxa" w:w="400"/>
              <w:left w:type="dxa" w:w="400"/>
              <w:bottom w:type="dxa" w:w="400"/>
              <w:right w:type="dxa" w:w="400"/>
            </w:tcMar>
          </w:tcPr>
          <w:p>
            <w:pPr>
              <w:spacing w:before="0" w:after="80"/>
              <w:jc w:val="left"/>
            </w:pPr>
            <w:r>
              <w:rPr>
                <w:rFonts w:ascii="Arial" w:cs="Arial" w:eastAsia="Arial" w:hAnsi="Arial"/>
                <w:b/>
                <w:bCs/>
                <w:color w:val="C9A84C"/>
                <w:sz w:val="18"/>
                <w:szCs w:val="18"/>
              </w:rPr>
              <w:t xml:space="preserve">CONFIDENTIAL  |  MARCH 2026</w:t>
            </w:r>
          </w:p>
          <w:p>
            <w:pPr>
              <w:spacing w:before="0" w:after="40"/>
              <w:jc w:val="left"/>
            </w:pPr>
            <w:r>
              <w:rPr>
                <w:rFonts w:ascii="Arial" w:cs="Arial" w:eastAsia="Arial" w:hAnsi="Arial"/>
                <w:b/>
                <w:bCs/>
                <w:color w:val="FFFFFF"/>
                <w:sz w:val="48"/>
                <w:szCs w:val="48"/>
              </w:rPr>
              <w:t xml:space="preserve">B2B BUILDER ENGAGEMENT</w:t>
            </w:r>
          </w:p>
          <w:p>
            <w:pPr>
              <w:spacing w:before="0" w:after="200"/>
              <w:jc w:val="left"/>
            </w:pPr>
            <w:r>
              <w:rPr>
                <w:rFonts w:ascii="Arial" w:cs="Arial" w:eastAsia="Arial" w:hAnsi="Arial"/>
                <w:b/>
                <w:bCs/>
                <w:color w:val="C9A84C"/>
                <w:sz w:val="36"/>
                <w:szCs w:val="36"/>
              </w:rPr>
              <w:t xml:space="preserve">PLAYBOOK &amp; MARKET ENTRY STRATEGY</w:t>
            </w:r>
          </w:p>
          <w:p>
            <w:pPr>
              <w:spacing w:before="0" w:after="40"/>
              <w:jc w:val="left"/>
            </w:pPr>
            <w:r>
              <w:rPr>
                <w:rFonts w:ascii="Arial" w:cs="Arial" w:eastAsia="Arial" w:hAnsi="Arial"/>
                <w:b/>
                <w:bCs/>
                <w:color w:val="FFFFFF"/>
                <w:sz w:val="28"/>
                <w:szCs w:val="28"/>
              </w:rPr>
              <w:t xml:space="preserve">beMore Design Studio</w:t>
            </w:r>
          </w:p>
          <w:p>
            <w:pPr>
              <w:spacing w:before="0" w:after="0"/>
              <w:jc w:val="left"/>
            </w:pPr>
            <w:r>
              <w:rPr>
                <w:rFonts w:ascii="Arial" w:cs="Arial" w:eastAsia="Arial" w:hAnsi="Arial"/>
                <w:color w:val="C9A84C"/>
                <w:sz w:val="22"/>
                <w:szCs w:val="22"/>
              </w:rPr>
              <w:t xml:space="preserve">Bangalore Residential Real Estate  |  Interior Design &amp; Architecture</w:t>
            </w:r>
          </w:p>
        </w:tc>
      </w:tr>
    </w:tbl>
    <w:p>
      <w:pPr>
        <w:spacing w:before="0" w:after="480"/>
      </w:pP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4360"/>
        <w:gridCol w:w="4360"/>
      </w:tblGrid>
      <w:tr>
        <w:tc>
          <w:tcPr>
            <w:tcW w:type="dxa" w:w="4360"/>
            <w:tcBorders>
              <w:top w:val="none" w:color="FFFFFF" w:sz="0"/>
              <w:left w:val="none" w:color="FFFFFF" w:sz="0"/>
              <w:bottom w:val="none" w:color="FFFFFF" w:sz="0"/>
              <w:right w:val="none" w:color="FFFFFF" w:sz="0"/>
            </w:tcBorders>
            <w:shd w:fill="F5F5F5" w:val="clear"/>
            <w:tcMar>
              <w:top w:type="dxa" w:w="140"/>
              <w:left w:type="dxa" w:w="200"/>
              <w:bottom w:type="dxa" w:w="140"/>
              <w:right w:type="dxa" w:w="200"/>
            </w:tcMar>
          </w:tcPr>
          <w:p>
            <w:pPr>
              <w:spacing w:before="0" w:after="40"/>
            </w:pPr>
            <w:r>
              <w:rPr>
                <w:rFonts w:ascii="Arial" w:cs="Arial" w:eastAsia="Arial" w:hAnsi="Arial"/>
                <w:b/>
                <w:bCs/>
                <w:color w:val="555555"/>
                <w:sz w:val="16"/>
                <w:szCs w:val="16"/>
              </w:rPr>
              <w:t xml:space="preserve">PREPARED FOR</w:t>
            </w:r>
          </w:p>
          <w:p>
            <w:pPr>
              <w:spacing w:before="0" w:after="20"/>
            </w:pPr>
            <w:r>
              <w:rPr>
                <w:rFonts w:ascii="Arial" w:cs="Arial" w:eastAsia="Arial" w:hAnsi="Arial"/>
                <w:b/>
                <w:bCs/>
                <w:color w:val="1A1A2E"/>
                <w:sz w:val="24"/>
                <w:szCs w:val="24"/>
              </w:rPr>
              <w:t xml:space="preserve">Kavya &amp; Suraj</w:t>
            </w:r>
          </w:p>
          <w:p>
            <w:pPr>
              <w:spacing w:before="0" w:after="0"/>
            </w:pPr>
            <w:r>
              <w:rPr>
                <w:rFonts w:ascii="Arial" w:cs="Arial" w:eastAsia="Arial" w:hAnsi="Arial"/>
                <w:color w:val="555555"/>
                <w:sz w:val="20"/>
                <w:szCs w:val="20"/>
              </w:rPr>
              <w:t xml:space="preserve">Co-Founders, beMore Design Studio</w:t>
            </w:r>
          </w:p>
        </w:tc>
        <w:tc>
          <w:tcPr>
            <w:tcW w:type="dxa" w:w="4360"/>
            <w:tcBorders>
              <w:top w:val="none" w:color="FFFFFF" w:sz="0"/>
              <w:left w:val="none" w:color="FFFFFF" w:sz="0"/>
              <w:bottom w:val="none" w:color="FFFFFF" w:sz="0"/>
              <w:right w:val="none" w:color="FFFFFF" w:sz="0"/>
            </w:tcBorders>
            <w:shd w:fill="F5F5F5" w:val="clear"/>
            <w:tcMar>
              <w:top w:type="dxa" w:w="140"/>
              <w:left w:type="dxa" w:w="200"/>
              <w:bottom w:type="dxa" w:w="140"/>
              <w:right w:type="dxa" w:w="200"/>
            </w:tcMar>
          </w:tcPr>
          <w:p>
            <w:pPr>
              <w:spacing w:before="0" w:after="40"/>
            </w:pPr>
            <w:r>
              <w:rPr>
                <w:rFonts w:ascii="Arial" w:cs="Arial" w:eastAsia="Arial" w:hAnsi="Arial"/>
                <w:b/>
                <w:bCs/>
                <w:color w:val="555555"/>
                <w:sz w:val="16"/>
                <w:szCs w:val="16"/>
              </w:rPr>
              <w:t xml:space="preserve">PREPARED BY</w:t>
            </w:r>
          </w:p>
          <w:p>
            <w:pPr>
              <w:spacing w:before="0" w:after="20"/>
            </w:pPr>
            <w:r>
              <w:rPr>
                <w:rFonts w:ascii="Arial" w:cs="Arial" w:eastAsia="Arial" w:hAnsi="Arial"/>
                <w:b/>
                <w:bCs/>
                <w:color w:val="1A1A2E"/>
                <w:sz w:val="24"/>
                <w:szCs w:val="24"/>
              </w:rPr>
              <w:t xml:space="preserve">Vasu Ranganathan</w:t>
            </w:r>
          </w:p>
          <w:p>
            <w:pPr>
              <w:spacing w:before="0" w:after="0"/>
            </w:pPr>
            <w:r>
              <w:rPr>
                <w:rFonts w:ascii="Arial" w:cs="Arial" w:eastAsia="Arial" w:hAnsi="Arial"/>
                <w:color w:val="555555"/>
                <w:sz w:val="20"/>
                <w:szCs w:val="20"/>
              </w:rPr>
              <w:t xml:space="preserve">B2B Strategy &amp; Market Research, March 2026</w:t>
            </w:r>
          </w:p>
        </w:tc>
      </w:tr>
    </w:tbl>
    <w:p>
      <w:pPr>
        <w:spacing w:before="0" w:after="320"/>
      </w:pP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180"/>
        <w:gridCol w:w="2180"/>
        <w:gridCol w:w="2180"/>
        <w:gridCol w:w="2180"/>
      </w:tblGrid>
      <w:tr>
        <w:tc>
          <w:tcPr>
            <w:tcW w:type="dxa" w:w="2180"/>
            <w:tcBorders>
              <w:top w:val="single" w:color="1A1A2E" w:sz="1"/>
              <w:left w:val="single" w:color="1A1A2E" w:sz="1"/>
              <w:bottom w:val="single" w:color="1A1A2E" w:sz="1"/>
              <w:right w:val="single" w:color="1A1A2E" w:sz="1"/>
            </w:tcBorders>
            <w:shd w:fill="1A1A2E" w:val="clear"/>
            <w:tcMar>
              <w:top w:type="dxa" w:w="120"/>
              <w:left w:type="dxa" w:w="80"/>
              <w:bottom w:type="dxa" w:w="120"/>
              <w:right w:type="dxa" w:w="80"/>
            </w:tcMar>
            <w:vAlign w:val="center"/>
          </w:tcPr>
          <w:p>
            <w:pPr>
              <w:spacing w:before="0" w:after="0"/>
              <w:jc w:val="center"/>
            </w:pPr>
            <w:r>
              <w:rPr>
                <w:rFonts w:ascii="Arial" w:cs="Arial" w:eastAsia="Arial" w:hAnsi="Arial"/>
                <w:b/>
                <w:bCs/>
                <w:color w:val="FFFFFF"/>
                <w:sz w:val="19"/>
                <w:szCs w:val="19"/>
              </w:rPr>
              <w:t xml:space="preserve">95 Builder Leads Identified</w:t>
            </w:r>
          </w:p>
        </w:tc>
        <w:tc>
          <w:tcPr>
            <w:tcW w:type="dxa" w:w="2180"/>
            <w:tcBorders>
              <w:top w:val="single" w:color="1A1A2E" w:sz="1"/>
              <w:left w:val="single" w:color="1A1A2E" w:sz="1"/>
              <w:bottom w:val="single" w:color="1A1A2E" w:sz="1"/>
              <w:right w:val="single" w:color="1A1A2E" w:sz="1"/>
            </w:tcBorders>
            <w:shd w:fill="1D6F42" w:val="clear"/>
            <w:tcMar>
              <w:top w:type="dxa" w:w="120"/>
              <w:left w:type="dxa" w:w="80"/>
              <w:bottom w:type="dxa" w:w="120"/>
              <w:right w:type="dxa" w:w="80"/>
            </w:tcMar>
            <w:vAlign w:val="center"/>
          </w:tcPr>
          <w:p>
            <w:pPr>
              <w:spacing w:before="0" w:after="0"/>
              <w:jc w:val="center"/>
            </w:pPr>
            <w:r>
              <w:rPr>
                <w:rFonts w:ascii="Arial" w:cs="Arial" w:eastAsia="Arial" w:hAnsi="Arial"/>
                <w:b/>
                <w:bCs/>
                <w:color w:val="FFFFFF"/>
                <w:sz w:val="19"/>
                <w:szCs w:val="19"/>
              </w:rPr>
              <w:t xml:space="preserve">₹60–90L Per Project Potential</w:t>
            </w:r>
          </w:p>
        </w:tc>
        <w:tc>
          <w:tcPr>
            <w:tcW w:type="dxa" w:w="2180"/>
            <w:tcBorders>
              <w:top w:val="single" w:color="1A1A2E" w:sz="1"/>
              <w:left w:val="single" w:color="1A1A2E" w:sz="1"/>
              <w:bottom w:val="single" w:color="1A1A2E" w:sz="1"/>
              <w:right w:val="single" w:color="1A1A2E" w:sz="1"/>
            </w:tcBorders>
            <w:shd w:fill="1A1A2E" w:val="clear"/>
            <w:tcMar>
              <w:top w:type="dxa" w:w="120"/>
              <w:left w:type="dxa" w:w="80"/>
              <w:bottom w:type="dxa" w:w="120"/>
              <w:right w:type="dxa" w:w="80"/>
            </w:tcMar>
            <w:vAlign w:val="center"/>
          </w:tcPr>
          <w:p>
            <w:pPr>
              <w:spacing w:before="0" w:after="0"/>
              <w:jc w:val="center"/>
            </w:pPr>
            <w:r>
              <w:rPr>
                <w:rFonts w:ascii="Arial" w:cs="Arial" w:eastAsia="Arial" w:hAnsi="Arial"/>
                <w:b/>
                <w:bCs/>
                <w:color w:val="FFFFFF"/>
                <w:sz w:val="19"/>
                <w:szCs w:val="19"/>
              </w:rPr>
              <w:t xml:space="preserve">4–8 Weeks to First Revenue</w:t>
            </w:r>
          </w:p>
        </w:tc>
        <w:tc>
          <w:tcPr>
            <w:tcW w:type="dxa" w:w="2180"/>
            <w:tcBorders>
              <w:top w:val="single" w:color="1A1A2E" w:sz="1"/>
              <w:left w:val="single" w:color="1A1A2E" w:sz="1"/>
              <w:bottom w:val="single" w:color="1A1A2E" w:sz="1"/>
              <w:right w:val="single" w:color="1A1A2E" w:sz="1"/>
            </w:tcBorders>
            <w:shd w:fill="1D6F42" w:val="clear"/>
            <w:tcMar>
              <w:top w:type="dxa" w:w="120"/>
              <w:left w:type="dxa" w:w="80"/>
              <w:bottom w:type="dxa" w:w="120"/>
              <w:right w:type="dxa" w:w="80"/>
            </w:tcMar>
            <w:vAlign w:val="center"/>
          </w:tcPr>
          <w:p>
            <w:pPr>
              <w:spacing w:before="0" w:after="0"/>
              <w:jc w:val="center"/>
            </w:pPr>
            <w:r>
              <w:rPr>
                <w:rFonts w:ascii="Arial" w:cs="Arial" w:eastAsia="Arial" w:hAnsi="Arial"/>
                <w:b/>
                <w:bCs/>
                <w:color w:val="FFFFFF"/>
                <w:sz w:val="19"/>
                <w:szCs w:val="19"/>
              </w:rPr>
              <w:t xml:space="preserve">₹2Cr+ Year 1 Target</w:t>
            </w:r>
          </w:p>
        </w:tc>
      </w:tr>
    </w:tbl>
    <w:p>
      <w:pPr>
        <w:spacing w:before="0" w:after="640"/>
      </w:pPr>
    </w:p>
    <w:p>
      <w:r>
        <w:br w:type="page"/>
      </w:r>
    </w:p>
    <w:p>
      <w:pPr>
        <w:pStyle w:val="Heading1"/>
        <w:pBdr>
          <w:bottom w:val="single" w:color="1A1A2E" w:sz="6" w:space="4"/>
        </w:pBdr>
        <w:spacing w:before="360" w:after="160"/>
      </w:pPr>
      <w:r>
        <w:rPr>
          <w:rFonts w:ascii="Arial" w:cs="Arial" w:eastAsia="Arial" w:hAnsi="Arial"/>
          <w:b/>
          <w:bCs/>
          <w:color w:val="1A1A2E"/>
          <w:sz w:val="32"/>
          <w:szCs w:val="32"/>
        </w:rPr>
        <w:t xml:space="preserve">Executive Summary</w:t>
      </w:r>
    </w:p>
    <w:p>
      <w:pPr>
        <w:spacing w:before="60" w:after="120"/>
        <w:jc w:val="left"/>
      </w:pPr>
      <w:r>
        <w:rPr>
          <w:rFonts w:ascii="Arial" w:cs="Arial" w:eastAsia="Arial" w:hAnsi="Arial"/>
          <w:color w:val="1A1A1A"/>
          <w:sz w:val="22"/>
          <w:szCs w:val="22"/>
        </w:rPr>
        <w:t xml:space="preserve">Bangalore's residential real estate market is in one of its strongest growth phases in a decade. With 33% year-on-year growth in new unit launches, over 100 projects expected in the next two years, and premium housing sales growing 64% in value, the demand for high-quality show flats and model units has never been greater — yet the vendor market remains fragmented and undersupplied.</w:t>
      </w:r>
    </w:p>
    <w:p>
      <w:pPr>
        <w:spacing w:before="60" w:after="120"/>
        <w:jc w:val="left"/>
      </w:pPr>
      <w:r>
        <w:rPr>
          <w:rFonts w:ascii="Arial" w:cs="Arial" w:eastAsia="Arial" w:hAnsi="Arial"/>
          <w:color w:val="1A1A1A"/>
          <w:sz w:val="22"/>
          <w:szCs w:val="22"/>
        </w:rPr>
        <w:t xml:space="preserve">This playbook is the result of comprehensive research across RERA Karnataka filings, Tracxn company profiles, LinkedIn intelligence, and primary market analysis. It identifies 95 builder leads across two batches, maps the exact decision-making structure at each firm, and provides Bemore Design Studio with a precise, actionable strategy to capture immediate B2B revenue.</w:t>
      </w:r>
    </w:p>
    <w:tbl>
      <w:tblPr>
        <w:tblW w:type="dxa" w:w="8720"/>
        <w:tblBorders>
          <w:top w:val="single" w:color="1A1A2E" w:sz="1"/>
          <w:left w:val="single" w:color="1A1A2E" w:sz="1"/>
          <w:bottom w:val="single" w:color="1A1A2E" w:sz="1"/>
          <w:right w:val="single" w:color="1A1A2E" w:sz="1"/>
          <w:insideH w:val="single" w:color="auto" w:sz="4"/>
          <w:insideV w:val="single" w:color="auto" w:sz="4"/>
        </w:tblBorders>
      </w:tblPr>
      <w:tblGrid>
        <w:gridCol w:w="8720"/>
      </w:tblGrid>
      <w:tr>
        <w:tc>
          <w:tcPr>
            <w:tcW w:type="dxa" w:w="8720"/>
            <w:tcBorders>
              <w:top w:val="single" w:color="1A1A2E" w:sz="1"/>
              <w:left w:val="single" w:color="1A1A2E" w:sz="1"/>
              <w:bottom w:val="single" w:color="1A1A2E" w:sz="1"/>
              <w:right w:val="single" w:color="1A1A2E" w:sz="1"/>
            </w:tcBorders>
            <w:shd w:fill="EEF6FF" w:val="clear"/>
            <w:tcMar>
              <w:top w:type="dxa" w:w="120"/>
              <w:left w:type="dxa" w:w="200"/>
              <w:bottom w:type="dxa" w:w="120"/>
              <w:right w:type="dxa" w:w="200"/>
            </w:tcMar>
          </w:tcPr>
          <w:p>
            <w:pPr>
              <w:spacing w:before="0" w:after="60"/>
            </w:pPr>
            <w:r>
              <w:rPr>
                <w:rFonts w:ascii="Arial" w:cs="Arial" w:eastAsia="Arial" w:hAnsi="Arial"/>
                <w:b/>
                <w:bCs/>
                <w:color w:val="1A1A2E"/>
                <w:sz w:val="20"/>
                <w:szCs w:val="20"/>
              </w:rPr>
              <w:t xml:space="preserve">The Core Thesis</w:t>
            </w:r>
          </w:p>
          <w:p>
            <w:pPr>
              <w:spacing w:before="0" w:after="0"/>
            </w:pPr>
            <w:r>
              <w:rPr>
                <w:rFonts w:ascii="Arial" w:cs="Arial" w:eastAsia="Arial" w:hAnsi="Arial"/>
                <w:color w:val="1A1A1A"/>
                <w:sz w:val="22"/>
                <w:szCs w:val="22"/>
              </w:rPr>
              <w:t xml:space="preserve">Bangalore's top builders are launching hundreds of projects. Every project needs a show flat. Every show flat is outsourced — even builders with 50-person in-house design teams outsource model units because it is a sales tool, not a construction deliverable. Getting on the vendor empanelment list at the right builders, through the right contacts, is the single unlock that turns beMore from a residential studio into a B2B design firm.</w:t>
            </w:r>
          </w:p>
        </w:tc>
      </w:tr>
    </w:tbl>
    <w:p>
      <w:pPr>
        <w:spacing w:before="0" w:after="320"/>
      </w:pPr>
    </w:p>
    <w:p>
      <w:pPr>
        <w:pStyle w:val="Heading2"/>
        <w:spacing w:before="280" w:after="120"/>
      </w:pPr>
      <w:r>
        <w:rPr>
          <w:rFonts w:ascii="Arial" w:cs="Arial" w:eastAsia="Arial" w:hAnsi="Arial"/>
          <w:b/>
          <w:bCs/>
          <w:color w:val="1A1A2E"/>
          <w:sz w:val="26"/>
          <w:szCs w:val="26"/>
        </w:rPr>
        <w:t xml:space="preserve">Key Findings</w:t>
      </w:r>
    </w:p>
    <w:p>
      <w:pPr>
        <w:pStyle w:val="ListParagraph"/>
        <w:numPr>
          <w:ilvl w:val="0"/>
          <w:numId w:val="2"/>
        </w:numPr>
        <w:spacing w:before="40" w:after="60"/>
      </w:pPr>
      <w:r>
        <w:rPr>
          <w:rFonts w:ascii="Arial" w:cs="Arial" w:eastAsia="Arial" w:hAnsi="Arial"/>
          <w:color w:val="1A1A1A"/>
          <w:sz w:val="22"/>
          <w:szCs w:val="22"/>
        </w:rPr>
        <w:t xml:space="preserve">95 RERA-verified builder leads identified across Bangalore, segmented into Tier A (large luxury pipeline), Tier B (design-conscious mid-size), and Tier C (boutique/niche).</w:t>
      </w:r>
    </w:p>
    <w:p>
      <w:pPr>
        <w:pStyle w:val="ListParagraph"/>
        <w:numPr>
          <w:ilvl w:val="0"/>
          <w:numId w:val="2"/>
        </w:numPr>
        <w:spacing w:before="40" w:after="60"/>
      </w:pPr>
      <w:r>
        <w:rPr>
          <w:rFonts w:ascii="Arial" w:cs="Arial" w:eastAsia="Arial" w:hAnsi="Arial"/>
          <w:color w:val="1A1A1A"/>
          <w:sz w:val="22"/>
          <w:szCs w:val="22"/>
        </w:rPr>
        <w:t xml:space="preserve">The single highest-priority contact in the market is Sowmya Prakash, newly appointed Zonal Head of Design at Godrej Properties, who is building her vendor network from zero — representing a time-sensitive, first-mover opportunity.</w:t>
      </w:r>
    </w:p>
    <w:p>
      <w:pPr>
        <w:pStyle w:val="ListParagraph"/>
        <w:numPr>
          <w:ilvl w:val="0"/>
          <w:numId w:val="2"/>
        </w:numPr>
        <w:spacing w:before="40" w:after="60"/>
      </w:pPr>
      <w:r>
        <w:rPr>
          <w:rFonts w:ascii="Arial" w:cs="Arial" w:eastAsia="Arial" w:hAnsi="Arial"/>
          <w:color w:val="1A1A1A"/>
          <w:sz w:val="22"/>
          <w:szCs w:val="22"/>
        </w:rPr>
        <w:t xml:space="preserve">Show flat briefs at Tier A builders yield ₹18–50L per unit; a full project with 3 BHK configurations generates ₹60–90L. A single Tier A relationship generating 5 projects per year yields ₹2Cr+ annually.</w:t>
      </w:r>
    </w:p>
    <w:p>
      <w:pPr>
        <w:pStyle w:val="ListParagraph"/>
        <w:numPr>
          <w:ilvl w:val="0"/>
          <w:numId w:val="2"/>
        </w:numPr>
        <w:spacing w:before="40" w:after="60"/>
      </w:pPr>
      <w:r>
        <w:rPr>
          <w:rFonts w:ascii="Arial" w:cs="Arial" w:eastAsia="Arial" w:hAnsi="Arial"/>
          <w:color w:val="1A1A1A"/>
          <w:sz w:val="22"/>
          <w:szCs w:val="22"/>
        </w:rPr>
        <w:t xml:space="preserve">The repeat rate for well-executed show flats is 80–90% — making the first brief the most important investment beMore can make.</w:t>
      </w:r>
    </w:p>
    <w:p>
      <w:pPr>
        <w:pStyle w:val="ListParagraph"/>
        <w:numPr>
          <w:ilvl w:val="0"/>
          <w:numId w:val="2"/>
        </w:numPr>
        <w:spacing w:before="40" w:after="60"/>
      </w:pPr>
      <w:r>
        <w:rPr>
          <w:rFonts w:ascii="Arial" w:cs="Arial" w:eastAsia="Arial" w:hAnsi="Arial"/>
          <w:color w:val="1A1A1A"/>
          <w:sz w:val="22"/>
          <w:szCs w:val="22"/>
        </w:rPr>
        <w:t xml:space="preserve">Bemore's most significant competitive advantage is project-specific concept proofs — the only vendor that brings work about a builder's specific project, rather than a generic portfolio, almost always wins the brief.</w:t>
      </w:r>
    </w:p>
    <w:p>
      <w:pPr>
        <w:spacing w:before="0" w:after="320"/>
      </w:pPr>
    </w:p>
    <w:p>
      <w:pPr>
        <w:pStyle w:val="Heading2"/>
        <w:spacing w:before="280" w:after="120"/>
      </w:pPr>
      <w:r>
        <w:rPr>
          <w:rFonts w:ascii="Arial" w:cs="Arial" w:eastAsia="Arial" w:hAnsi="Arial"/>
          <w:b/>
          <w:bCs/>
          <w:color w:val="1A1A2E"/>
          <w:sz w:val="26"/>
          <w:szCs w:val="26"/>
        </w:rPr>
        <w:t xml:space="preserve">Strategic Priority Stack</w:t>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3200"/>
        <w:gridCol w:w="552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Priority Tier</w:t>
            </w:r>
          </w:p>
        </w:tc>
        <w:tc>
          <w:tcPr>
            <w:tcW w:type="dxa" w:w="5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Target &amp; Rationale</w:t>
            </w:r>
          </w:p>
        </w:tc>
      </w:tr>
      <w:tr>
        <w:trPr>
          <w:tblHeader w:val="false"/>
        </w:trP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Immediate Revenue (0–8 weeks)</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Godrej Woodscape (Sowmya Prakash) — show flat brief open, vendor list blank</w:t>
            </w:r>
          </w:p>
        </w:tc>
      </w:tr>
      <w:tr>
        <w:trPr>
          <w:tblHeader w:val="false"/>
        </w:trP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Fast Follow (4–12 weeks)</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Nambiar District 25 Phase 2, Abhee Nakshatra, Sumadhura Sarang</w:t>
            </w:r>
          </w:p>
        </w:tc>
      </w:tr>
      <w:tr>
        <w:trPr>
          <w:tblHeader w:val="false"/>
        </w:trP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Portfolio Builder (2–4 months)</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Prestige Southern Star — multiple show flat program, ₹80–200L total</w:t>
            </w:r>
          </w:p>
        </w:tc>
      </w:tr>
      <w:tr>
        <w:trPr>
          <w:tblHeader w:val="false"/>
        </w:trP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Long-term Platform (6–12 months)</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Sobha Hoskote, Godrej Lakeside Orchard, Birla Evara</w:t>
            </w:r>
          </w:p>
        </w:tc>
      </w:tr>
    </w:tbl>
    <w:p>
      <w:pPr>
        <w:spacing w:before="0" w:after="480"/>
      </w:pPr>
    </w:p>
    <w:p>
      <w:r>
        <w:br w:type="page"/>
      </w:r>
    </w:p>
    <w:p>
      <w:pPr>
        <w:pStyle w:val="Heading1"/>
        <w:pBdr>
          <w:bottom w:val="single" w:color="1A1A2E" w:sz="6" w:space="4"/>
        </w:pBdr>
        <w:spacing w:before="360" w:after="160"/>
      </w:pPr>
      <w:r>
        <w:rPr>
          <w:rFonts w:ascii="Arial" w:cs="Arial" w:eastAsia="Arial" w:hAnsi="Arial"/>
          <w:b/>
          <w:bCs/>
          <w:color w:val="1A1A2E"/>
          <w:sz w:val="32"/>
          <w:szCs w:val="32"/>
        </w:rPr>
        <w:t xml:space="preserve">1. Market Context &amp; Opportunity</w:t>
      </w:r>
    </w:p>
    <w:p>
      <w:pPr>
        <w:pStyle w:val="Heading2"/>
        <w:spacing w:before="280" w:after="120"/>
      </w:pPr>
      <w:r>
        <w:rPr>
          <w:rFonts w:ascii="Arial" w:cs="Arial" w:eastAsia="Arial" w:hAnsi="Arial"/>
          <w:b/>
          <w:bCs/>
          <w:color w:val="1A1A2E"/>
          <w:sz w:val="26"/>
          <w:szCs w:val="26"/>
        </w:rPr>
        <w:t xml:space="preserve">1.1  The Bangalore Real Estate Opportunity</w:t>
      </w:r>
    </w:p>
    <w:p>
      <w:pPr>
        <w:spacing w:before="60" w:after="100"/>
        <w:jc w:val="left"/>
      </w:pPr>
      <w:r>
        <w:rPr>
          <w:rFonts w:ascii="Arial" w:cs="Arial" w:eastAsia="Arial" w:hAnsi="Arial"/>
          <w:color w:val="1A1A1A"/>
          <w:sz w:val="22"/>
          <w:szCs w:val="22"/>
        </w:rPr>
        <w:t xml:space="preserve">Bangalore's residential market is entering its strongest growth phase in a decade, driven by IT corridor expansion, GCC growth, infrastructure upgrades (metro expansion, ring roads), and rising disposable incomes among the city's 1.5 million IT and ITES professionals.</w:t>
      </w:r>
    </w:p>
    <w:p>
      <w:pPr>
        <w:spacing w:before="0" w:after="160"/>
      </w:pP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180"/>
        <w:gridCol w:w="2180"/>
        <w:gridCol w:w="2180"/>
        <w:gridCol w:w="2180"/>
      </w:tblGrid>
      <w:tr>
        <w:tc>
          <w:tcPr>
            <w:tcW w:type="dxa" w:w="2180"/>
            <w:tcBorders>
              <w:top w:val="single" w:color="1A1A2E" w:sz="1"/>
              <w:left w:val="single" w:color="1A1A2E" w:sz="1"/>
              <w:bottom w:val="single" w:color="1A1A2E" w:sz="1"/>
              <w:right w:val="single" w:color="1A1A2E" w:sz="1"/>
            </w:tcBorders>
            <w:shd w:fill="1A1A2E" w:val="clear"/>
            <w:tcMar>
              <w:top w:type="dxa" w:w="120"/>
              <w:left w:type="dxa" w:w="100"/>
              <w:bottom w:type="dxa" w:w="120"/>
              <w:right w:type="dxa" w:w="100"/>
            </w:tcMar>
            <w:vAlign w:val="center"/>
          </w:tcPr>
          <w:p>
            <w:pPr>
              <w:spacing w:before="0" w:after="40"/>
              <w:jc w:val="center"/>
            </w:pPr>
            <w:r>
              <w:rPr>
                <w:rFonts w:ascii="Arial" w:cs="Arial" w:eastAsia="Arial" w:hAnsi="Arial"/>
                <w:b/>
                <w:bCs/>
                <w:color w:val="C9A84C"/>
                <w:sz w:val="40"/>
                <w:szCs w:val="40"/>
              </w:rPr>
              <w:t xml:space="preserve">37,103</w:t>
            </w:r>
          </w:p>
          <w:p>
            <w:pPr>
              <w:spacing w:before="0" w:after="0"/>
              <w:jc w:val="center"/>
            </w:pPr>
            <w:r>
              <w:rPr>
                <w:rFonts w:ascii="Arial" w:cs="Arial" w:eastAsia="Arial" w:hAnsi="Arial"/>
                <w:color w:val="FFFFFF"/>
                <w:sz w:val="18"/>
                <w:szCs w:val="18"/>
              </w:rPr>
              <w:t xml:space="preserve">New units launched YTD (33% growth)</w:t>
            </w:r>
          </w:p>
        </w:tc>
        <w:tc>
          <w:tcPr>
            <w:tcW w:type="dxa" w:w="2180"/>
            <w:tcBorders>
              <w:top w:val="single" w:color="1A1A2E" w:sz="1"/>
              <w:left w:val="single" w:color="1A1A2E" w:sz="1"/>
              <w:bottom w:val="single" w:color="1A1A2E" w:sz="1"/>
              <w:right w:val="single" w:color="1A1A2E" w:sz="1"/>
            </w:tcBorders>
            <w:shd w:fill="1A1A2E" w:val="clear"/>
            <w:tcMar>
              <w:top w:type="dxa" w:w="120"/>
              <w:left w:type="dxa" w:w="100"/>
              <w:bottom w:type="dxa" w:w="120"/>
              <w:right w:type="dxa" w:w="100"/>
            </w:tcMar>
            <w:vAlign w:val="center"/>
          </w:tcPr>
          <w:p>
            <w:pPr>
              <w:spacing w:before="0" w:after="40"/>
              <w:jc w:val="center"/>
            </w:pPr>
            <w:r>
              <w:rPr>
                <w:rFonts w:ascii="Arial" w:cs="Arial" w:eastAsia="Arial" w:hAnsi="Arial"/>
                <w:b/>
                <w:bCs/>
                <w:color w:val="C9A84C"/>
                <w:sz w:val="40"/>
                <w:szCs w:val="40"/>
              </w:rPr>
              <w:t xml:space="preserve">64%</w:t>
            </w:r>
          </w:p>
          <w:p>
            <w:pPr>
              <w:spacing w:before="0" w:after="0"/>
              <w:jc w:val="center"/>
            </w:pPr>
            <w:r>
              <w:rPr>
                <w:rFonts w:ascii="Arial" w:cs="Arial" w:eastAsia="Arial" w:hAnsi="Arial"/>
                <w:color w:val="FFFFFF"/>
                <w:sz w:val="18"/>
                <w:szCs w:val="18"/>
              </w:rPr>
              <w:t xml:space="preserve">Premium housing sales growth in value</w:t>
            </w:r>
          </w:p>
        </w:tc>
        <w:tc>
          <w:tcPr>
            <w:tcW w:type="dxa" w:w="2180"/>
            <w:tcBorders>
              <w:top w:val="single" w:color="1A1A2E" w:sz="1"/>
              <w:left w:val="single" w:color="1A1A2E" w:sz="1"/>
              <w:bottom w:val="single" w:color="1A1A2E" w:sz="1"/>
              <w:right w:val="single" w:color="1A1A2E" w:sz="1"/>
            </w:tcBorders>
            <w:shd w:fill="1A1A2E" w:val="clear"/>
            <w:tcMar>
              <w:top w:type="dxa" w:w="120"/>
              <w:left w:type="dxa" w:w="100"/>
              <w:bottom w:type="dxa" w:w="120"/>
              <w:right w:type="dxa" w:w="100"/>
            </w:tcMar>
            <w:vAlign w:val="center"/>
          </w:tcPr>
          <w:p>
            <w:pPr>
              <w:spacing w:before="0" w:after="40"/>
              <w:jc w:val="center"/>
            </w:pPr>
            <w:r>
              <w:rPr>
                <w:rFonts w:ascii="Arial" w:cs="Arial" w:eastAsia="Arial" w:hAnsi="Arial"/>
                <w:b/>
                <w:bCs/>
                <w:color w:val="C9A84C"/>
                <w:sz w:val="40"/>
                <w:szCs w:val="40"/>
              </w:rPr>
              <w:t xml:space="preserve">100+</w:t>
            </w:r>
          </w:p>
          <w:p>
            <w:pPr>
              <w:spacing w:before="0" w:after="0"/>
              <w:jc w:val="center"/>
            </w:pPr>
            <w:r>
              <w:rPr>
                <w:rFonts w:ascii="Arial" w:cs="Arial" w:eastAsia="Arial" w:hAnsi="Arial"/>
                <w:color w:val="FFFFFF"/>
                <w:sz w:val="18"/>
                <w:szCs w:val="18"/>
              </w:rPr>
              <w:t xml:space="preserve">Projects expected in next 2 years</w:t>
            </w:r>
          </w:p>
        </w:tc>
        <w:tc>
          <w:tcPr>
            <w:tcW w:type="dxa" w:w="2180"/>
            <w:tcBorders>
              <w:top w:val="single" w:color="1A1A2E" w:sz="1"/>
              <w:left w:val="single" w:color="1A1A2E" w:sz="1"/>
              <w:bottom w:val="single" w:color="1A1A2E" w:sz="1"/>
              <w:right w:val="single" w:color="1A1A2E" w:sz="1"/>
            </w:tcBorders>
            <w:shd w:fill="1A1A2E" w:val="clear"/>
            <w:tcMar>
              <w:top w:type="dxa" w:w="120"/>
              <w:left w:type="dxa" w:w="100"/>
              <w:bottom w:type="dxa" w:w="120"/>
              <w:right w:type="dxa" w:w="100"/>
            </w:tcMar>
            <w:vAlign w:val="center"/>
          </w:tcPr>
          <w:p>
            <w:pPr>
              <w:spacing w:before="0" w:after="40"/>
              <w:jc w:val="center"/>
            </w:pPr>
            <w:r>
              <w:rPr>
                <w:rFonts w:ascii="Arial" w:cs="Arial" w:eastAsia="Arial" w:hAnsi="Arial"/>
                <w:b/>
                <w:bCs/>
                <w:color w:val="C9A84C"/>
                <w:sz w:val="40"/>
                <w:szCs w:val="40"/>
              </w:rPr>
              <w:t xml:space="preserve">₹90L</w:t>
            </w:r>
          </w:p>
          <w:p>
            <w:pPr>
              <w:spacing w:before="0" w:after="0"/>
              <w:jc w:val="center"/>
            </w:pPr>
            <w:r>
              <w:rPr>
                <w:rFonts w:ascii="Arial" w:cs="Arial" w:eastAsia="Arial" w:hAnsi="Arial"/>
                <w:color w:val="FFFFFF"/>
                <w:sz w:val="18"/>
                <w:szCs w:val="18"/>
              </w:rPr>
              <w:t xml:space="preserve">Top show flat brief value per project</w:t>
            </w:r>
          </w:p>
        </w:tc>
      </w:tr>
    </w:tbl>
    <w:p>
      <w:pPr>
        <w:spacing w:before="0" w:after="320"/>
      </w:pPr>
    </w:p>
    <w:p>
      <w:pPr>
        <w:spacing w:before="60" w:after="100"/>
        <w:jc w:val="left"/>
      </w:pPr>
      <w:r>
        <w:rPr>
          <w:rFonts w:ascii="Arial" w:cs="Arial" w:eastAsia="Arial" w:hAnsi="Arial"/>
          <w:color w:val="1A1A1A"/>
          <w:sz w:val="22"/>
          <w:szCs w:val="22"/>
        </w:rPr>
        <w:t xml:space="preserve">Key growth corridors driving new launches are Whitefield and the Sarjapur Road IT belt in the East; Devanahalli and Yelahanka in the North (airport corridor); Kanakapura and Bannerghatta Road in the South; and the Outer Ring Road belt connecting all quadrants.</w:t>
      </w:r>
    </w:p>
    <w:p>
      <w:pPr>
        <w:pStyle w:val="Heading2"/>
        <w:spacing w:before="280" w:after="120"/>
      </w:pPr>
      <w:r>
        <w:rPr>
          <w:rFonts w:ascii="Arial" w:cs="Arial" w:eastAsia="Arial" w:hAnsi="Arial"/>
          <w:b/>
          <w:bCs/>
          <w:color w:val="1A1A2E"/>
          <w:sz w:val="26"/>
          <w:szCs w:val="26"/>
        </w:rPr>
        <w:t xml:space="preserve">1.2  How Builders Actually Work With Designers</w:t>
      </w:r>
    </w:p>
    <w:p>
      <w:pPr>
        <w:spacing w:before="60" w:after="100"/>
        <w:jc w:val="left"/>
      </w:pPr>
      <w:r>
        <w:rPr>
          <w:rFonts w:ascii="Arial" w:cs="Arial" w:eastAsia="Arial" w:hAnsi="Arial"/>
          <w:color w:val="1A1A1A"/>
          <w:sz w:val="22"/>
          <w:szCs w:val="22"/>
        </w:rPr>
        <w:t xml:space="preserve">The most important distinction for beMore's strategy is understanding exactly what builders keep in-house versus what they outsource. This determines where beMore can compete.</w:t>
      </w:r>
    </w:p>
    <w:p>
      <w:pPr>
        <w:spacing w:before="0" w:after="160"/>
      </w:pP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4200"/>
        <w:gridCol w:w="4520"/>
      </w:tblGrid>
      <w:tr>
        <w:trPr>
          <w:tblHeader/>
        </w:trPr>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Design Scope</w:t>
            </w:r>
          </w:p>
        </w:tc>
        <w:tc>
          <w:tcPr>
            <w:tcW w:type="dxa" w:w="4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Outsourcing Pattern</w:t>
            </w:r>
          </w:p>
        </w:tc>
      </w:tr>
      <w:tr>
        <w:trPr>
          <w:tblHeader w:val="false"/>
        </w:trP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Master planning &amp; building architecture</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ALWAYS IN-HOUSE</w:t>
            </w:r>
          </w:p>
        </w:tc>
      </w:tr>
      <w:tr>
        <w:trPr>
          <w:tblHeader w:val="false"/>
        </w:trP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Facade design &amp; structural drawings</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ALWAYS IN-HOUSE</w:t>
            </w:r>
          </w:p>
        </w:tc>
      </w:tr>
      <w:tr>
        <w:trPr>
          <w:tblHeader w:val="false"/>
        </w:trP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Regulatory approvals</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ALWAYS IN-HOUSE</w:t>
            </w:r>
          </w:p>
        </w:tc>
      </w:tr>
      <w:tr>
        <w:trPr>
          <w:tblHeader w:val="false"/>
        </w:trP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Common area design (mid-segment)</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USUALLY IN-HOUSE</w:t>
            </w:r>
          </w:p>
        </w:tc>
      </w:tr>
      <w:tr>
        <w:trPr>
          <w:tblHeader w:val="false"/>
        </w:trP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Model apartment interior design</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ALWAYS OUTSOURCED — beMore's primary entry</w:t>
            </w:r>
          </w:p>
        </w:tc>
      </w:tr>
      <w:tr>
        <w:trPr>
          <w:tblHeader w:val="false"/>
        </w:trP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Show flat styling, furniture &amp; staging</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ALWAYS OUTSOURCED</w:t>
            </w:r>
          </w:p>
        </w:tc>
      </w:tr>
      <w:tr>
        <w:trPr>
          <w:tblHeader w:val="false"/>
        </w:trP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Clubhouse &amp; amenity design (premium)</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USUALLY OUTSOURCED — second entry point</w:t>
            </w:r>
          </w:p>
        </w:tc>
      </w:tr>
      <w:tr>
        <w:trPr>
          <w:tblHeader w:val="false"/>
        </w:trP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Landscape architecture</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USUALLY OUTSOURCED</w:t>
            </w:r>
          </w:p>
        </w:tc>
      </w:tr>
      <w:tr>
        <w:trPr>
          <w:tblHeader w:val="false"/>
        </w:trP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Specialty spaces (spa, sky lounge, co-working)</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ALWAYS OUTSOURCED</w:t>
            </w:r>
          </w:p>
        </w:tc>
      </w:tr>
      <w:tr>
        <w:trPr>
          <w:tblHeader w:val="false"/>
        </w:trP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Turnkey interior packages sold to buyers</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INCREASINGLY OUTSOURCED — emerging opportunity</w:t>
            </w:r>
          </w:p>
        </w:tc>
      </w:tr>
    </w:tbl>
    <w:p>
      <w:pPr>
        <w:spacing w:before="0" w:after="320"/>
      </w:pPr>
    </w:p>
    <w:tbl>
      <w:tblPr>
        <w:tblW w:type="dxa" w:w="8720"/>
        <w:tblBorders>
          <w:top w:val="single" w:color="1A1A2E" w:sz="1"/>
          <w:left w:val="single" w:color="1A1A2E" w:sz="1"/>
          <w:bottom w:val="single" w:color="1A1A2E" w:sz="1"/>
          <w:right w:val="single" w:color="1A1A2E" w:sz="1"/>
          <w:insideH w:val="single" w:color="auto" w:sz="4"/>
          <w:insideV w:val="single" w:color="auto" w:sz="4"/>
        </w:tblBorders>
      </w:tblPr>
      <w:tblGrid>
        <w:gridCol w:w="8720"/>
      </w:tblGrid>
      <w:tr>
        <w:tc>
          <w:tcPr>
            <w:tcW w:type="dxa" w:w="8720"/>
            <w:tcBorders>
              <w:top w:val="single" w:color="1A1A2E" w:sz="1"/>
              <w:left w:val="single" w:color="1A1A2E" w:sz="1"/>
              <w:bottom w:val="single" w:color="1A1A2E" w:sz="1"/>
              <w:right w:val="single" w:color="1A1A2E" w:sz="1"/>
            </w:tcBorders>
            <w:shd w:fill="EEF6FF" w:val="clear"/>
            <w:tcMar>
              <w:top w:type="dxa" w:w="120"/>
              <w:left w:type="dxa" w:w="200"/>
              <w:bottom w:type="dxa" w:w="120"/>
              <w:right w:type="dxa" w:w="200"/>
            </w:tcMar>
          </w:tcPr>
          <w:p>
            <w:pPr>
              <w:spacing w:before="0" w:after="60"/>
            </w:pPr>
            <w:r>
              <w:rPr>
                <w:rFonts w:ascii="Arial" w:cs="Arial" w:eastAsia="Arial" w:hAnsi="Arial"/>
                <w:b/>
                <w:bCs/>
                <w:color w:val="1A1A2E"/>
                <w:sz w:val="20"/>
                <w:szCs w:val="20"/>
              </w:rPr>
              <w:t xml:space="preserve">Critical Insight — Why Model Units Are Always Outsourced</w:t>
            </w:r>
          </w:p>
          <w:p>
            <w:pPr>
              <w:spacing w:before="0" w:after="0"/>
            </w:pPr>
            <w:r>
              <w:rPr>
                <w:rFonts w:ascii="Arial" w:cs="Arial" w:eastAsia="Arial" w:hAnsi="Arial"/>
                <w:color w:val="1A1A1A"/>
                <w:sz w:val="22"/>
                <w:szCs w:val="22"/>
              </w:rPr>
              <w:t xml:space="preserve">Model apartments are sales tools, not construction deliverables. Even builders like Prestige (1,496 employees) and Sobha (4,121 employees) with large in-house design teams outsource show flats, because they want an external creative perspective that feels fresh to buyers — not the same aesthetic they use for every other project. This is beMore's structural entry point into every builder, regardless of team size.</w:t>
            </w:r>
          </w:p>
        </w:tc>
      </w:tr>
    </w:tbl>
    <w:p>
      <w:pPr>
        <w:pStyle w:val="Heading2"/>
        <w:spacing w:before="280" w:after="120"/>
      </w:pPr>
      <w:r>
        <w:rPr>
          <w:rFonts w:ascii="Arial" w:cs="Arial" w:eastAsia="Arial" w:hAnsi="Arial"/>
          <w:b/>
          <w:bCs/>
          <w:color w:val="1A1A2E"/>
          <w:sz w:val="26"/>
          <w:szCs w:val="26"/>
        </w:rPr>
        <w:t xml:space="preserve">1.3  What Triggers The Outsourcing Decision</w:t>
      </w:r>
    </w:p>
    <w:p>
      <w:pPr>
        <w:pStyle w:val="ListParagraph"/>
        <w:numPr>
          <w:ilvl w:val="0"/>
          <w:numId w:val="2"/>
        </w:numPr>
        <w:spacing w:before="40" w:after="60"/>
      </w:pPr>
      <w:r>
        <w:rPr>
          <w:rFonts w:ascii="Arial" w:cs="Arial" w:eastAsia="Arial" w:hAnsi="Arial"/>
          <w:color w:val="1A1A1A"/>
          <w:sz w:val="22"/>
          <w:szCs w:val="22"/>
        </w:rPr>
        <w:t xml:space="preserve">A new project tier the builder hasn't launched before — their first luxury project, or first 4BHK offering.</w:t>
      </w:r>
    </w:p>
    <w:p>
      <w:pPr>
        <w:pStyle w:val="ListParagraph"/>
        <w:numPr>
          <w:ilvl w:val="0"/>
          <w:numId w:val="2"/>
        </w:numPr>
        <w:spacing w:before="40" w:after="60"/>
      </w:pPr>
      <w:r>
        <w:rPr>
          <w:rFonts w:ascii="Arial" w:cs="Arial" w:eastAsia="Arial" w:hAnsi="Arial"/>
          <w:color w:val="1A1A1A"/>
          <w:sz w:val="22"/>
          <w:szCs w:val="22"/>
        </w:rPr>
        <w:t xml:space="preserve">Timeline pressure — in-house design capacity is fully allocated to active projects; the new brief needs a fresh team.</w:t>
      </w:r>
    </w:p>
    <w:p>
      <w:pPr>
        <w:pStyle w:val="ListParagraph"/>
        <w:numPr>
          <w:ilvl w:val="0"/>
          <w:numId w:val="2"/>
        </w:numPr>
        <w:spacing w:before="40" w:after="60"/>
      </w:pPr>
      <w:r>
        <w:rPr>
          <w:rFonts w:ascii="Arial" w:cs="Arial" w:eastAsia="Arial" w:hAnsi="Arial"/>
          <w:color w:val="1A1A1A"/>
          <w:sz w:val="22"/>
          <w:szCs w:val="22"/>
        </w:rPr>
        <w:t xml:space="preserve">A specific design aesthetic the in-house team cannot replicate — Japanese minimalism, biophilic design, European luxury.</w:t>
      </w:r>
    </w:p>
    <w:p>
      <w:pPr>
        <w:pStyle w:val="ListParagraph"/>
        <w:numPr>
          <w:ilvl w:val="0"/>
          <w:numId w:val="2"/>
        </w:numPr>
        <w:spacing w:before="40" w:after="60"/>
      </w:pPr>
      <w:r>
        <w:rPr>
          <w:rFonts w:ascii="Arial" w:cs="Arial" w:eastAsia="Arial" w:hAnsi="Arial"/>
          <w:color w:val="1A1A1A"/>
          <w:sz w:val="22"/>
          <w:szCs w:val="22"/>
        </w:rPr>
        <w:t xml:space="preserve">Cost efficiency — outsourcing a model unit is cheaper than maintaining that specialist design talent on payroll year-round.</w:t>
      </w:r>
    </w:p>
    <w:p>
      <w:pPr>
        <w:pStyle w:val="ListParagraph"/>
        <w:numPr>
          <w:ilvl w:val="0"/>
          <w:numId w:val="2"/>
        </w:numPr>
        <w:spacing w:before="40" w:after="60"/>
      </w:pPr>
      <w:r>
        <w:rPr>
          <w:rFonts w:ascii="Arial" w:cs="Arial" w:eastAsia="Arial" w:hAnsi="Arial"/>
          <w:color w:val="1A1A1A"/>
          <w:sz w:val="22"/>
          <w:szCs w:val="22"/>
        </w:rPr>
        <w:t xml:space="preserve">Scale — large township projects like Prestige Southern Star (4,300 units) require multiple simultaneous show flat briefs.</w:t>
      </w:r>
    </w:p>
    <w:p>
      <w:pPr>
        <w:spacing w:before="0" w:after="480"/>
      </w:pPr>
    </w:p>
    <w:p>
      <w:r>
        <w:br w:type="page"/>
      </w:r>
    </w:p>
    <w:p>
      <w:pPr>
        <w:pStyle w:val="Heading1"/>
        <w:pBdr>
          <w:bottom w:val="single" w:color="1A1A2E" w:sz="6" w:space="4"/>
        </w:pBdr>
        <w:spacing w:before="360" w:after="160"/>
      </w:pPr>
      <w:r>
        <w:rPr>
          <w:rFonts w:ascii="Arial" w:cs="Arial" w:eastAsia="Arial" w:hAnsi="Arial"/>
          <w:b/>
          <w:bCs/>
          <w:color w:val="1A1A2E"/>
          <w:sz w:val="32"/>
          <w:szCs w:val="32"/>
        </w:rPr>
        <w:t xml:space="preserve">2. Builder Market Map — 95 Verified Leads</w:t>
      </w:r>
    </w:p>
    <w:p>
      <w:pPr>
        <w:pStyle w:val="Heading2"/>
        <w:spacing w:before="280" w:after="120"/>
      </w:pPr>
      <w:r>
        <w:rPr>
          <w:rFonts w:ascii="Arial" w:cs="Arial" w:eastAsia="Arial" w:hAnsi="Arial"/>
          <w:b/>
          <w:bCs/>
          <w:color w:val="1A1A2E"/>
          <w:sz w:val="26"/>
          <w:szCs w:val="26"/>
        </w:rPr>
        <w:t xml:space="preserve">2.1  Segmentation Framework</w:t>
      </w:r>
    </w:p>
    <w:p>
      <w:pPr>
        <w:spacing w:before="60" w:after="100"/>
        <w:jc w:val="left"/>
      </w:pPr>
      <w:r>
        <w:rPr>
          <w:rFonts w:ascii="Arial" w:cs="Arial" w:eastAsia="Arial" w:hAnsi="Arial"/>
          <w:color w:val="1A1A1A"/>
          <w:sz w:val="22"/>
          <w:szCs w:val="22"/>
        </w:rPr>
        <w:t xml:space="preserve">Leads are segmented across three tiers based on pipeline scale, design sophistication, and brief value — not prestige alone. A Tier C boutique developer with a ₹3BHK luxury launch and an MD who decides in one meeting can be faster revenue than a Tier A builder with a six-month empanelment process.</w:t>
      </w:r>
    </w:p>
    <w:p>
      <w:pPr>
        <w:spacing w:before="0" w:after="160"/>
      </w:pP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60"/>
        <w:gridCol w:w="2360"/>
      </w:tblGrid>
      <w:tr>
        <w:trPr>
          <w:tblHeader/>
        </w:trPr>
        <w:tc>
          <w:tcPr>
            <w:tcW w:type="dxa" w:w="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Tier</w:t>
            </w:r>
          </w:p>
        </w:tc>
        <w:tc>
          <w:tcPr>
            <w:tcW w:type="dxa" w:w="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Profile</w:t>
            </w:r>
          </w:p>
        </w:tc>
        <w:tc>
          <w:tcPr>
            <w:tcW w:type="dxa" w:w="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Key Builders (Sample)</w:t>
            </w:r>
          </w:p>
        </w:tc>
        <w:tc>
          <w:tcPr>
            <w:tcW w:type="dxa" w:w="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Show Flat Brief Value</w:t>
            </w:r>
          </w:p>
        </w:tc>
      </w:tr>
      <w:tr>
        <w:tc>
          <w:tcPr>
            <w:tcW w:type="dxa"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bCs/>
                <w:color w:val="1A1A2E"/>
                <w:sz w:val="20"/>
                <w:szCs w:val="20"/>
              </w:rPr>
              <w:t xml:space="preserve">Tier A — Primary</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Large pipeline, luxury segment, formal empanelment</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Prestige, Sobha, Brigade, Embassy, Godrej</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₹30–90L+ per project</w:t>
            </w:r>
          </w:p>
        </w:tc>
      </w:tr>
      <w:tr>
        <w:tc>
          <w:tcPr>
            <w:tcW w:type="dxa"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bCs/>
                <w:color w:val="1A1A2E"/>
                <w:sz w:val="20"/>
                <w:szCs w:val="20"/>
              </w:rPr>
              <w:t xml:space="preserve">Tier B — Mid Target</w:t>
            </w:r>
          </w:p>
        </w:tc>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Growing, design-conscious, faster decisions</w:t>
            </w:r>
          </w:p>
        </w:tc>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Birla Estates, Sumadhura, Assetz, Nambiar, Abhee</w:t>
            </w:r>
          </w:p>
        </w:tc>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₹15–45L per project</w:t>
            </w:r>
          </w:p>
        </w:tc>
      </w:tr>
      <w:tr>
        <w:tc>
          <w:tcPr>
            <w:tcW w:type="dxa"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bCs/>
                <w:color w:val="1A1A2E"/>
                <w:sz w:val="20"/>
                <w:szCs w:val="20"/>
              </w:rPr>
              <w:t xml:space="preserve">Tier C — Boutique</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Niche/boutique, easier entry, smaller briefs</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Mahaveer, Fortius, DNR Corp, Mana, CoEvolve</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₹8–20L per project</w:t>
            </w:r>
          </w:p>
        </w:tc>
      </w:tr>
    </w:tbl>
    <w:p>
      <w:pPr>
        <w:spacing w:before="0" w:after="320"/>
      </w:pPr>
    </w:p>
    <w:p>
      <w:pPr>
        <w:pStyle w:val="Heading2"/>
        <w:spacing w:before="280" w:after="120"/>
      </w:pPr>
      <w:r>
        <w:rPr>
          <w:rFonts w:ascii="Arial" w:cs="Arial" w:eastAsia="Arial" w:hAnsi="Arial"/>
          <w:b/>
          <w:bCs/>
          <w:color w:val="1A1A2E"/>
          <w:sz w:val="26"/>
          <w:szCs w:val="26"/>
        </w:rPr>
        <w:t xml:space="preserve">2.2  Top 10 Decision-Makers — Confirmed Contacts</w:t>
      </w:r>
    </w:p>
    <w:p>
      <w:pPr>
        <w:spacing w:before="60" w:after="120"/>
        <w:jc w:val="left"/>
      </w:pPr>
      <w:r>
        <w:rPr>
          <w:rFonts w:ascii="Arial" w:cs="Arial" w:eastAsia="Arial" w:hAnsi="Arial"/>
          <w:color w:val="1A1A1A"/>
          <w:sz w:val="22"/>
          <w:szCs w:val="22"/>
        </w:rPr>
        <w:t xml:space="preserve">The following contacts have been verified through ZoomInfo, RocketReach, LinkedIn, and official builder websites. These are the individuals who control show flat vendor selection — not procurement, not sales.</w:t>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320"/>
      </w:tblGrid>
      <w:tr>
        <w:trPr>
          <w:tblHeader/>
        </w:trPr>
        <w:tc>
          <w:tcPr>
            <w:tcW w:type="dxa" w:w="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Contact &amp; Builder</w:t>
            </w:r>
          </w:p>
        </w:tc>
        <w:tc>
          <w:tcPr>
            <w:tcW w:type="dxa" w:w="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Title</w:t>
            </w:r>
          </w:p>
        </w:tc>
        <w:tc>
          <w:tcPr>
            <w:tcW w:type="dxa" w:w="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Why They Matter</w:t>
            </w:r>
          </w:p>
        </w:tc>
        <w:tc>
          <w:tcPr>
            <w:tcW w:type="dxa" w:w="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LinkedIn Search</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Sowmya Prakash — Godrej</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Zonal Head, Design &amp; Strategy</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D6F42"/>
                <w:sz w:val="19"/>
                <w:szCs w:val="19"/>
              </w:rPr>
              <w:t xml:space="preserve">Just joined; vendor list is BLANK. First mover wins.</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Sowmya Prakash Godrej Properties</w:t>
            </w:r>
          </w:p>
        </w:tc>
      </w:tr>
      <w:tr>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Pavan S. Haribal — Sumadhura</w:t>
            </w:r>
          </w:p>
        </w:tc>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DGM, Design Management</w:t>
            </w:r>
          </w:p>
        </w:tc>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1D6F42"/>
                <w:sz w:val="19"/>
                <w:szCs w:val="19"/>
              </w:rPr>
              <w:t xml:space="preserve">B.Arch + brand background; Sarang brief is urgent</w:t>
            </w:r>
          </w:p>
        </w:tc>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Pavan Haribal Sumadhura</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Rakesh Kumar — Birla Estates</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Head of Design</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D6F42"/>
                <w:sz w:val="19"/>
                <w:szCs w:val="19"/>
              </w:rPr>
              <w:t xml:space="preserve">Birla Evara 1,600 units; Tisya 2 imminent</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Rakesh Kumar Birla Estates</w:t>
            </w:r>
          </w:p>
        </w:tc>
      </w:tr>
      <w:tr>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Manishkumar Mistry — Prestige</w:t>
            </w:r>
          </w:p>
        </w:tc>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SVP, Design Dev &amp; Planning</w:t>
            </w:r>
          </w:p>
        </w:tc>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1D6F42"/>
                <w:sz w:val="19"/>
                <w:szCs w:val="19"/>
              </w:rPr>
              <w:t xml:space="preserve">Controls ALL Prestige show flat vendor shortlists</w:t>
            </w:r>
          </w:p>
        </w:tc>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Manishkumar Mistry Prestige</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Shama Chanekar — Brigade</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Head of Design</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D6F42"/>
                <w:sz w:val="19"/>
                <w:szCs w:val="19"/>
              </w:rPr>
              <w:t xml:space="preserve">Ex-Bhartiya City; warm cross-reference opportunity</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Shama Chanekar Brigade Group</w:t>
            </w:r>
          </w:p>
        </w:tc>
      </w:tr>
      <w:tr>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Geetha K. Nair — Sobha</w:t>
            </w:r>
          </w:p>
        </w:tc>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EVP, Head Design &amp; Engineering</w:t>
            </w:r>
          </w:p>
        </w:tc>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1D6F42"/>
                <w:sz w:val="19"/>
                <w:szCs w:val="19"/>
              </w:rPr>
              <w:t xml:space="preserve">Sobha Hoskote 42-acre launch; active hiring now</w:t>
            </w:r>
          </w:p>
        </w:tc>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Geetha Nair Sobha Limited</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Akshay Dewani — Assetz</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CEO</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D6F42"/>
                <w:sz w:val="19"/>
                <w:szCs w:val="19"/>
              </w:rPr>
              <w:t xml:space="preserve">92 employees, 13 launches; CEO is closest to brief</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Akshay Dewani Assetz</w:t>
            </w:r>
          </w:p>
        </w:tc>
      </w:tr>
      <w:tr>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Ratheesh Nambiar — Nambiar</w:t>
            </w:r>
          </w:p>
        </w:tc>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CMD</w:t>
            </w:r>
          </w:p>
        </w:tc>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1D6F42"/>
                <w:sz w:val="19"/>
                <w:szCs w:val="19"/>
              </w:rPr>
              <w:t xml:space="preserve">District 25 Phase 1 sold out; Phase 2 brief live</w:t>
            </w:r>
          </w:p>
        </w:tc>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Ratheesh Nambiar Nambiar Builders</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R. Nagaraj Reddy — Abhee</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CMD</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D6F42"/>
                <w:sz w:val="19"/>
                <w:szCs w:val="19"/>
              </w:rPr>
              <w:t xml:space="preserve">₹500Cr sold in 24 hrs; Nakshatra 2,028 units</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R Nagaraj Reddy Abhee Ventures</w:t>
            </w:r>
          </w:p>
        </w:tc>
      </w:tr>
      <w:tr>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Jaimin Desai — DLF</w:t>
            </w:r>
          </w:p>
        </w:tc>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Head VP, Design</w:t>
            </w:r>
          </w:p>
        </w:tc>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1D6F42"/>
                <w:sz w:val="19"/>
                <w:szCs w:val="19"/>
              </w:rPr>
              <w:t xml:space="preserve">Ex-Tata, ex-Mahindra, ex-Godrej; most experienced on list</w:t>
            </w:r>
          </w:p>
        </w:tc>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1A1A1A"/>
                <w:sz w:val="19"/>
                <w:szCs w:val="19"/>
              </w:rPr>
              <w:t xml:space="preserve">Jaimin Desai DLF</w:t>
            </w:r>
          </w:p>
        </w:tc>
      </w:tr>
    </w:tbl>
    <w:p>
      <w:pPr>
        <w:spacing w:before="0" w:after="480"/>
      </w:pPr>
    </w:p>
    <w:p>
      <w:r>
        <w:br w:type="page"/>
      </w:r>
    </w:p>
    <w:p>
      <w:pPr>
        <w:pStyle w:val="Heading1"/>
        <w:pBdr>
          <w:bottom w:val="single" w:color="1A1A2E" w:sz="6" w:space="4"/>
        </w:pBdr>
        <w:spacing w:before="360" w:after="160"/>
      </w:pPr>
      <w:r>
        <w:rPr>
          <w:rFonts w:ascii="Arial" w:cs="Arial" w:eastAsia="Arial" w:hAnsi="Arial"/>
          <w:b/>
          <w:bCs/>
          <w:color w:val="1A1A2E"/>
          <w:sz w:val="32"/>
          <w:szCs w:val="32"/>
        </w:rPr>
        <w:t xml:space="preserve">3. B2B Pipeline — How To Get In</w:t>
      </w:r>
    </w:p>
    <w:p>
      <w:pPr>
        <w:pStyle w:val="Heading2"/>
        <w:spacing w:before="280" w:after="120"/>
      </w:pPr>
      <w:r>
        <w:rPr>
          <w:rFonts w:ascii="Arial" w:cs="Arial" w:eastAsia="Arial" w:hAnsi="Arial"/>
          <w:b/>
          <w:bCs/>
          <w:color w:val="1A1A2E"/>
          <w:sz w:val="26"/>
          <w:szCs w:val="26"/>
        </w:rPr>
        <w:t xml:space="preserve">3.1  The Five-Step Entry Process</w:t>
      </w:r>
    </w:p>
    <w:p>
      <w:pPr>
        <w:spacing w:before="60" w:after="100"/>
        <w:jc w:val="left"/>
      </w:pPr>
      <w:r>
        <w:rPr>
          <w:rFonts w:ascii="Arial" w:cs="Arial" w:eastAsia="Arial" w:hAnsi="Arial"/>
          <w:color w:val="1A1A1A"/>
          <w:sz w:val="22"/>
          <w:szCs w:val="22"/>
        </w:rPr>
        <w:t xml:space="preserve">Every successful B2B relationship at a builder follows the same five-step sequence. The most common failure is skipping steps — particularly going to procurement before warming up the design head.</w:t>
      </w:r>
    </w:p>
    <w:p>
      <w:pPr>
        <w:spacing w:before="0" w:after="160"/>
      </w:pP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1744"/>
        <w:gridCol w:w="1744"/>
        <w:gridCol w:w="1744"/>
        <w:gridCol w:w="1744"/>
        <w:gridCol w:w="1744"/>
      </w:tblGrid>
      <w:tr>
        <w:tc>
          <w:tcPr>
            <w:tcW w:type="dxa" w:w="1744"/>
            <w:tcBorders>
              <w:top w:val="single" w:color="1A1A2E" w:sz="1"/>
              <w:left w:val="single" w:color="1A1A2E" w:sz="1"/>
              <w:bottom w:val="single" w:color="1A1A2E" w:sz="1"/>
              <w:right w:val="single" w:color="1A1A2E" w:sz="1"/>
            </w:tcBorders>
            <w:shd w:fill="1A1A2E" w:val="clear"/>
            <w:tcMar>
              <w:top w:type="dxa" w:w="140"/>
              <w:left w:type="dxa" w:w="120"/>
              <w:bottom w:type="dxa" w:w="140"/>
              <w:right w:type="dxa" w:w="120"/>
            </w:tcMar>
            <w:vAlign w:val="center"/>
          </w:tcPr>
          <w:p>
            <w:pPr>
              <w:spacing w:before="0" w:after="60"/>
              <w:jc w:val="center"/>
            </w:pPr>
            <w:r>
              <w:rPr>
                <w:rFonts w:ascii="Arial" w:cs="Arial" w:eastAsia="Arial" w:hAnsi="Arial"/>
                <w:b/>
                <w:bCs/>
                <w:color w:val="C9A84C"/>
                <w:sz w:val="22"/>
                <w:szCs w:val="22"/>
              </w:rPr>
              <w:t xml:space="preserve">1. Scout</w:t>
            </w:r>
          </w:p>
          <w:p>
            <w:pPr>
              <w:spacing w:before="0" w:after="0"/>
              <w:jc w:val="center"/>
            </w:pPr>
            <w:r>
              <w:rPr>
                <w:rFonts w:ascii="Arial" w:cs="Arial" w:eastAsia="Arial" w:hAnsi="Arial"/>
                <w:color w:val="FFFFFF"/>
                <w:sz w:val="18"/>
                <w:szCs w:val="18"/>
              </w:rPr>
              <w:t xml:space="preserve">Identify active projects &amp; upcoming launches via RERA Karnataka</w:t>
            </w:r>
          </w:p>
        </w:tc>
        <w:tc>
          <w:tcPr>
            <w:tcW w:type="dxa" w:w="1744"/>
            <w:tcBorders>
              <w:top w:val="single" w:color="1A1A2E" w:sz="1"/>
              <w:left w:val="single" w:color="1A1A2E" w:sz="1"/>
              <w:bottom w:val="single" w:color="1A1A2E" w:sz="1"/>
              <w:right w:val="single" w:color="1A1A2E" w:sz="1"/>
            </w:tcBorders>
            <w:shd w:fill="1D3461" w:val="clear"/>
            <w:tcMar>
              <w:top w:type="dxa" w:w="140"/>
              <w:left w:type="dxa" w:w="120"/>
              <w:bottom w:type="dxa" w:w="140"/>
              <w:right w:type="dxa" w:w="120"/>
            </w:tcMar>
            <w:vAlign w:val="center"/>
          </w:tcPr>
          <w:p>
            <w:pPr>
              <w:spacing w:before="0" w:after="60"/>
              <w:jc w:val="center"/>
            </w:pPr>
            <w:r>
              <w:rPr>
                <w:rFonts w:ascii="Arial" w:cs="Arial" w:eastAsia="Arial" w:hAnsi="Arial"/>
                <w:b/>
                <w:bCs/>
                <w:color w:val="C9A84C"/>
                <w:sz w:val="22"/>
                <w:szCs w:val="22"/>
              </w:rPr>
              <w:t xml:space="preserve">2. Find DM</w:t>
            </w:r>
          </w:p>
          <w:p>
            <w:pPr>
              <w:spacing w:before="0" w:after="0"/>
              <w:jc w:val="center"/>
            </w:pPr>
            <w:r>
              <w:rPr>
                <w:rFonts w:ascii="Arial" w:cs="Arial" w:eastAsia="Arial" w:hAnsi="Arial"/>
                <w:color w:val="FFFFFF"/>
                <w:sz w:val="18"/>
                <w:szCs w:val="18"/>
              </w:rPr>
              <w:t xml:space="preserve">Target Head of Design — not procurement, not sales teams</w:t>
            </w:r>
          </w:p>
        </w:tc>
        <w:tc>
          <w:tcPr>
            <w:tcW w:type="dxa" w:w="1744"/>
            <w:tcBorders>
              <w:top w:val="single" w:color="1A1A2E" w:sz="1"/>
              <w:left w:val="single" w:color="1A1A2E" w:sz="1"/>
              <w:bottom w:val="single" w:color="1A1A2E" w:sz="1"/>
              <w:right w:val="single" w:color="1A1A2E" w:sz="1"/>
            </w:tcBorders>
            <w:shd w:fill="2C3E6B" w:val="clear"/>
            <w:tcMar>
              <w:top w:type="dxa" w:w="140"/>
              <w:left w:type="dxa" w:w="120"/>
              <w:bottom w:type="dxa" w:w="140"/>
              <w:right w:type="dxa" w:w="120"/>
            </w:tcMar>
            <w:vAlign w:val="center"/>
          </w:tcPr>
          <w:p>
            <w:pPr>
              <w:spacing w:before="0" w:after="60"/>
              <w:jc w:val="center"/>
            </w:pPr>
            <w:r>
              <w:rPr>
                <w:rFonts w:ascii="Arial" w:cs="Arial" w:eastAsia="Arial" w:hAnsi="Arial"/>
                <w:b/>
                <w:bCs/>
                <w:color w:val="C9A84C"/>
                <w:sz w:val="22"/>
                <w:szCs w:val="22"/>
              </w:rPr>
              <w:t xml:space="preserve">3. Warm Up</w:t>
            </w:r>
          </w:p>
          <w:p>
            <w:pPr>
              <w:spacing w:before="0" w:after="0"/>
              <w:jc w:val="center"/>
            </w:pPr>
            <w:r>
              <w:rPr>
                <w:rFonts w:ascii="Arial" w:cs="Arial" w:eastAsia="Arial" w:hAnsi="Arial"/>
                <w:color w:val="FFFFFF"/>
                <w:sz w:val="18"/>
                <w:szCs w:val="18"/>
              </w:rPr>
              <w:t xml:space="preserve">LinkedIn + project-specific email; reference their specific project</w:t>
            </w:r>
          </w:p>
        </w:tc>
        <w:tc>
          <w:tcPr>
            <w:tcW w:type="dxa" w:w="1744"/>
            <w:tcBorders>
              <w:top w:val="single" w:color="1A1A2E" w:sz="1"/>
              <w:left w:val="single" w:color="1A1A2E" w:sz="1"/>
              <w:bottom w:val="single" w:color="1A1A2E" w:sz="1"/>
              <w:right w:val="single" w:color="1A1A2E" w:sz="1"/>
            </w:tcBorders>
            <w:shd w:fill="1D3461" w:val="clear"/>
            <w:tcMar>
              <w:top w:type="dxa" w:w="140"/>
              <w:left w:type="dxa" w:w="120"/>
              <w:bottom w:type="dxa" w:w="140"/>
              <w:right w:type="dxa" w:w="120"/>
            </w:tcMar>
            <w:vAlign w:val="center"/>
          </w:tcPr>
          <w:p>
            <w:pPr>
              <w:spacing w:before="0" w:after="60"/>
              <w:jc w:val="center"/>
            </w:pPr>
            <w:r>
              <w:rPr>
                <w:rFonts w:ascii="Arial" w:cs="Arial" w:eastAsia="Arial" w:hAnsi="Arial"/>
                <w:b/>
                <w:bCs/>
                <w:color w:val="C9A84C"/>
                <w:sz w:val="22"/>
                <w:szCs w:val="22"/>
              </w:rPr>
              <w:t xml:space="preserve">4. Empanel</w:t>
            </w:r>
          </w:p>
          <w:p>
            <w:pPr>
              <w:spacing w:before="0" w:after="0"/>
              <w:jc w:val="center"/>
            </w:pPr>
            <w:r>
              <w:rPr>
                <w:rFonts w:ascii="Arial" w:cs="Arial" w:eastAsia="Arial" w:hAnsi="Arial"/>
                <w:color w:val="FFFFFF"/>
                <w:sz w:val="18"/>
                <w:szCs w:val="18"/>
              </w:rPr>
              <w:t xml:space="preserve">Submit vendor deck, portfolio, GST &amp; compliance documents</w:t>
            </w:r>
          </w:p>
        </w:tc>
        <w:tc>
          <w:tcPr>
            <w:tcW w:type="dxa" w:w="1744"/>
            <w:tcBorders>
              <w:top w:val="single" w:color="1A1A2E" w:sz="1"/>
              <w:left w:val="single" w:color="1A1A2E" w:sz="1"/>
              <w:bottom w:val="single" w:color="1A1A2E" w:sz="1"/>
              <w:right w:val="single" w:color="1A1A2E" w:sz="1"/>
            </w:tcBorders>
            <w:shd w:fill="1D6F42" w:val="clear"/>
            <w:tcMar>
              <w:top w:type="dxa" w:w="140"/>
              <w:left w:type="dxa" w:w="120"/>
              <w:bottom w:type="dxa" w:w="140"/>
              <w:right w:type="dxa" w:w="120"/>
            </w:tcMar>
            <w:vAlign w:val="center"/>
          </w:tcPr>
          <w:p>
            <w:pPr>
              <w:spacing w:before="0" w:after="60"/>
              <w:jc w:val="center"/>
            </w:pPr>
            <w:r>
              <w:rPr>
                <w:rFonts w:ascii="Arial" w:cs="Arial" w:eastAsia="Arial" w:hAnsi="Arial"/>
                <w:b/>
                <w:bCs/>
                <w:color w:val="C9A84C"/>
                <w:sz w:val="22"/>
                <w:szCs w:val="22"/>
              </w:rPr>
              <w:t xml:space="preserve">5. Pilot Win</w:t>
            </w:r>
          </w:p>
          <w:p>
            <w:pPr>
              <w:spacing w:before="0" w:after="0"/>
              <w:jc w:val="center"/>
            </w:pPr>
            <w:r>
              <w:rPr>
                <w:rFonts w:ascii="Arial" w:cs="Arial" w:eastAsia="Arial" w:hAnsi="Arial"/>
                <w:color w:val="FFFFFF"/>
                <w:sz w:val="18"/>
                <w:szCs w:val="18"/>
              </w:rPr>
              <w:t xml:space="preserve">Offer one model unit at sharp rate; prove quality to earn the list</w:t>
            </w:r>
          </w:p>
        </w:tc>
      </w:tr>
    </w:tbl>
    <w:p>
      <w:pPr>
        <w:spacing w:before="0" w:after="320"/>
      </w:pPr>
    </w:p>
    <w:p>
      <w:pPr>
        <w:pStyle w:val="Heading2"/>
        <w:spacing w:before="280" w:after="120"/>
      </w:pPr>
      <w:r>
        <w:rPr>
          <w:rFonts w:ascii="Arial" w:cs="Arial" w:eastAsia="Arial" w:hAnsi="Arial"/>
          <w:b/>
          <w:bCs/>
          <w:color w:val="1A1A2E"/>
          <w:sz w:val="26"/>
          <w:szCs w:val="26"/>
        </w:rPr>
        <w:t xml:space="preserve">3.2  The Buying Committee — Who Decides What</w:t>
      </w:r>
    </w:p>
    <w:p>
      <w:pPr>
        <w:spacing w:before="60" w:after="100"/>
        <w:jc w:val="left"/>
      </w:pPr>
      <w:r>
        <w:rPr>
          <w:rFonts w:ascii="Arial" w:cs="Arial" w:eastAsia="Arial" w:hAnsi="Arial"/>
          <w:color w:val="1A1A1A"/>
          <w:sz w:val="22"/>
          <w:szCs w:val="22"/>
        </w:rPr>
        <w:t xml:space="preserve">Understanding the buying committee prevents the most common BD mistake: going to procurement before establishing creative credibility with the design head.</w:t>
      </w:r>
    </w:p>
    <w:p>
      <w:pPr>
        <w:spacing w:before="0" w:after="160"/>
      </w:pP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906"/>
        <w:gridCol w:w="2906"/>
        <w:gridCol w:w="2906"/>
      </w:tblGrid>
      <w:tr>
        <w:trPr>
          <w:tblHeader/>
        </w:trPr>
        <w:tc>
          <w:tcPr>
            <w:tcW w:type="dxa" w:w="29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Role</w:t>
            </w:r>
          </w:p>
        </w:tc>
        <w:tc>
          <w:tcPr>
            <w:tcW w:type="dxa" w:w="29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Decision Authority</w:t>
            </w:r>
          </w:p>
        </w:tc>
        <w:tc>
          <w:tcPr>
            <w:tcW w:type="dxa" w:w="29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How to Approach</w:t>
            </w:r>
          </w:p>
        </w:tc>
      </w:tr>
      <w:tr>
        <w:trPr>
          <w:tblHeader w:val="false"/>
        </w:trPr>
        <w:tc>
          <w:tcPr>
            <w:tcW w:type="dxa" w:w="290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Head of Design / Design Manager</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PRIMARY — Controls brief, shortlists vendors, evaluates portfolios</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First contact at every builder. LinkedIn before anything else.</w:t>
            </w:r>
          </w:p>
        </w:tc>
      </w:tr>
      <w:tr>
        <w:trPr>
          <w:tblHeader w:val="false"/>
        </w:trPr>
        <w:tc>
          <w:tcPr>
            <w:tcW w:type="dxa" w:w="290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VP Projects / Project Director</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SECONDARY — Approves timeline and execution reliability</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Comes after the design head says yes. Focus on delivery track record.</w:t>
            </w:r>
          </w:p>
        </w:tc>
      </w:tr>
      <w:tr>
        <w:trPr>
          <w:tblHeader w:val="false"/>
        </w:trPr>
        <w:tc>
          <w:tcPr>
            <w:tcW w:type="dxa" w:w="290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Procurement / Purchase Head</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PROCESS — Manages empanelment paperwork and commercial terms</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Parallel track. Keep communication simple; they are not designers.</w:t>
            </w:r>
          </w:p>
        </w:tc>
      </w:tr>
      <w:tr>
        <w:trPr>
          <w:tblHeader w:val="false"/>
        </w:trPr>
        <w:tc>
          <w:tcPr>
            <w:tcW w:type="dxa" w:w="290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CFO / MD</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APPROVAL — Signs off on large projects (₹50L+) and new vendor codes</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Only involved for Tier A projects. Design head carries your recommendation to them.</w:t>
            </w:r>
          </w:p>
        </w:tc>
      </w:tr>
    </w:tbl>
    <w:p>
      <w:pPr>
        <w:spacing w:before="0" w:after="320"/>
      </w:pPr>
    </w:p>
    <w:p>
      <w:pPr>
        <w:pStyle w:val="Heading2"/>
        <w:spacing w:before="280" w:after="120"/>
      </w:pPr>
      <w:r>
        <w:rPr>
          <w:rFonts w:ascii="Arial" w:cs="Arial" w:eastAsia="Arial" w:hAnsi="Arial"/>
          <w:b/>
          <w:bCs/>
          <w:color w:val="1A1A2E"/>
          <w:sz w:val="26"/>
          <w:szCs w:val="26"/>
        </w:rPr>
        <w:t xml:space="preserve">3.3  The Vendor Deck — Your Entry Ticket</w:t>
      </w:r>
    </w:p>
    <w:tbl>
      <w:tblPr>
        <w:tblW w:type="dxa" w:w="8720"/>
        <w:tblBorders>
          <w:top w:val="single" w:color="1A1A2E" w:sz="1"/>
          <w:left w:val="single" w:color="1A1A2E" w:sz="1"/>
          <w:bottom w:val="single" w:color="1A1A2E" w:sz="1"/>
          <w:right w:val="single" w:color="1A1A2E" w:sz="1"/>
          <w:insideH w:val="single" w:color="auto" w:sz="4"/>
          <w:insideV w:val="single" w:color="auto" w:sz="4"/>
        </w:tblBorders>
      </w:tblPr>
      <w:tblGrid>
        <w:gridCol w:w="8720"/>
      </w:tblGrid>
      <w:tr>
        <w:tc>
          <w:tcPr>
            <w:tcW w:type="dxa" w:w="8720"/>
            <w:tcBorders>
              <w:top w:val="single" w:color="1A1A2E" w:sz="1"/>
              <w:left w:val="single" w:color="1A1A2E" w:sz="1"/>
              <w:bottom w:val="single" w:color="1A1A2E" w:sz="1"/>
              <w:right w:val="single" w:color="1A1A2E" w:sz="1"/>
            </w:tcBorders>
            <w:shd w:fill="F5F5F5" w:val="clear"/>
            <w:tcMar>
              <w:top w:type="dxa" w:w="120"/>
              <w:left w:type="dxa" w:w="200"/>
              <w:bottom w:type="dxa" w:w="120"/>
              <w:right w:type="dxa" w:w="200"/>
            </w:tcMar>
          </w:tcPr>
          <w:p>
            <w:pPr>
              <w:spacing w:before="0" w:after="60"/>
            </w:pPr>
            <w:r>
              <w:rPr>
                <w:rFonts w:ascii="Arial" w:cs="Arial" w:eastAsia="Arial" w:hAnsi="Arial"/>
                <w:b/>
                <w:bCs/>
                <w:color w:val="1A1A2E"/>
                <w:sz w:val="20"/>
                <w:szCs w:val="20"/>
              </w:rPr>
              <w:t xml:space="preserve">Non-Negotiable</w:t>
            </w:r>
          </w:p>
          <w:p>
            <w:pPr>
              <w:spacing w:before="0" w:after="0"/>
            </w:pPr>
            <w:r>
              <w:rPr>
                <w:rFonts w:ascii="Arial" w:cs="Arial" w:eastAsia="Arial" w:hAnsi="Arial"/>
                <w:color w:val="1A1A1A"/>
                <w:sz w:val="22"/>
                <w:szCs w:val="22"/>
              </w:rPr>
              <w:t xml:space="preserve">Builders will not agree to a meeting without a vendor deck. It does not need to be elaborate — it needs to be visual, specific, and under 10 slides. A 40-slide capabilities deck signals that you do not understand their time constraints.</w:t>
            </w:r>
          </w:p>
        </w:tc>
      </w:tr>
    </w:tbl>
    <w:p>
      <w:pPr>
        <w:spacing w:before="0" w:after="240"/>
      </w:pPr>
    </w:p>
    <w:p>
      <w:pPr>
        <w:spacing w:before="60" w:after="100"/>
        <w:jc w:val="left"/>
      </w:pPr>
      <w:r>
        <w:rPr>
          <w:rFonts w:ascii="Arial" w:cs="Arial" w:eastAsia="Arial" w:hAnsi="Arial"/>
          <w:b/>
          <w:bCs/>
          <w:color w:val="1A1A1A"/>
          <w:sz w:val="22"/>
          <w:szCs w:val="22"/>
        </w:rPr>
        <w:t xml:space="preserve">The deck must contain the following — nothing more, nothing less:</w:t>
      </w:r>
    </w:p>
    <w:p>
      <w:pPr>
        <w:pStyle w:val="ListParagraph"/>
        <w:numPr>
          <w:ilvl w:val="0"/>
          <w:numId w:val="2"/>
        </w:numPr>
        <w:spacing w:before="40" w:after="60"/>
      </w:pPr>
      <w:r>
        <w:rPr>
          <w:rFonts w:ascii="Arial" w:cs="Arial" w:eastAsia="Arial" w:hAnsi="Arial"/>
          <w:color w:val="1A1A1A"/>
          <w:sz w:val="22"/>
          <w:szCs w:val="22"/>
        </w:rPr>
        <w:t xml:space="preserve">Portfolio with project type and square footage called out (builders think in sqft and BHK configurations, not room names)</w:t>
      </w:r>
    </w:p>
    <w:p>
      <w:pPr>
        <w:pStyle w:val="ListParagraph"/>
        <w:numPr>
          <w:ilvl w:val="0"/>
          <w:numId w:val="2"/>
        </w:numPr>
        <w:spacing w:before="40" w:after="60"/>
      </w:pPr>
      <w:r>
        <w:rPr>
          <w:rFonts w:ascii="Arial" w:cs="Arial" w:eastAsia="Arial" w:hAnsi="Arial"/>
          <w:color w:val="1A1A1A"/>
          <w:sz w:val="22"/>
          <w:szCs w:val="22"/>
        </w:rPr>
        <w:t xml:space="preserve">GST registration certificate and company registration documents</w:t>
      </w:r>
    </w:p>
    <w:p>
      <w:pPr>
        <w:pStyle w:val="ListParagraph"/>
        <w:numPr>
          <w:ilvl w:val="0"/>
          <w:numId w:val="2"/>
        </w:numPr>
        <w:spacing w:before="40" w:after="60"/>
      </w:pPr>
      <w:r>
        <w:rPr>
          <w:rFonts w:ascii="Arial" w:cs="Arial" w:eastAsia="Arial" w:hAnsi="Arial"/>
          <w:color w:val="1A1A1A"/>
          <w:sz w:val="22"/>
          <w:szCs w:val="22"/>
        </w:rPr>
        <w:t xml:space="preserve">MSME certificate if applicable — some builders give preference to MSME-registered vendors</w:t>
      </w:r>
    </w:p>
    <w:p>
      <w:pPr>
        <w:pStyle w:val="ListParagraph"/>
        <w:numPr>
          <w:ilvl w:val="0"/>
          <w:numId w:val="2"/>
        </w:numPr>
        <w:spacing w:before="40" w:after="60"/>
      </w:pPr>
      <w:r>
        <w:rPr>
          <w:rFonts w:ascii="Arial" w:cs="Arial" w:eastAsia="Arial" w:hAnsi="Arial"/>
          <w:color w:val="1A1A1A"/>
          <w:sz w:val="22"/>
          <w:szCs w:val="22"/>
        </w:rPr>
        <w:t xml:space="preserve">Past client references with builder names — even one builder reference changes the conversation entirely</w:t>
      </w:r>
    </w:p>
    <w:p>
      <w:pPr>
        <w:pStyle w:val="ListParagraph"/>
        <w:numPr>
          <w:ilvl w:val="0"/>
          <w:numId w:val="2"/>
        </w:numPr>
        <w:spacing w:before="40" w:after="60"/>
      </w:pPr>
      <w:r>
        <w:rPr>
          <w:rFonts w:ascii="Arial" w:cs="Arial" w:eastAsia="Arial" w:hAnsi="Arial"/>
          <w:color w:val="1A1A1A"/>
          <w:sz w:val="22"/>
          <w:szCs w:val="22"/>
        </w:rPr>
        <w:t xml:space="preserve">One-page credential sheet: team size, years in operation, specialisation, and turnaround time</w:t>
      </w:r>
    </w:p>
    <w:p>
      <w:pPr>
        <w:pStyle w:val="ListParagraph"/>
        <w:numPr>
          <w:ilvl w:val="0"/>
          <w:numId w:val="2"/>
        </w:numPr>
        <w:spacing w:before="40" w:after="60"/>
      </w:pPr>
      <w:r>
        <w:rPr>
          <w:rFonts w:ascii="Arial" w:cs="Arial" w:eastAsia="Arial" w:hAnsi="Arial"/>
          <w:color w:val="1A1A1A"/>
          <w:sz w:val="22"/>
          <w:szCs w:val="22"/>
        </w:rPr>
        <w:t xml:space="preserve">One project-specific mood board for the builder you are meeting — this is the differentiator</w:t>
      </w:r>
    </w:p>
    <w:p>
      <w:pPr>
        <w:spacing w:before="0" w:after="320"/>
      </w:pPr>
    </w:p>
    <w:p>
      <w:pPr>
        <w:pStyle w:val="Heading2"/>
        <w:spacing w:before="280" w:after="120"/>
      </w:pPr>
      <w:r>
        <w:rPr>
          <w:rFonts w:ascii="Arial" w:cs="Arial" w:eastAsia="Arial" w:hAnsi="Arial"/>
          <w:b/>
          <w:bCs/>
          <w:color w:val="1A1A2E"/>
          <w:sz w:val="26"/>
          <w:szCs w:val="26"/>
        </w:rPr>
        <w:t xml:space="preserve">3.4  The Model Unit — Why It Is Always The Entry Point</w:t>
      </w:r>
    </w:p>
    <w:p>
      <w:pPr>
        <w:spacing w:before="60" w:after="100"/>
        <w:jc w:val="left"/>
      </w:pPr>
      <w:r>
        <w:rPr>
          <w:rFonts w:ascii="Arial" w:cs="Arial" w:eastAsia="Arial" w:hAnsi="Arial"/>
          <w:color w:val="1A1A1A"/>
          <w:sz w:val="22"/>
          <w:szCs w:val="22"/>
        </w:rPr>
        <w:t xml:space="preserve">Of all possible services beMore can offer a builder, the model unit is the easiest, fastest, and most reliable entry. Here is why it outperforms every other approach:</w:t>
      </w:r>
    </w:p>
    <w:p>
      <w:pPr>
        <w:spacing w:before="0" w:after="160"/>
      </w:pP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906"/>
        <w:gridCol w:w="2906"/>
        <w:gridCol w:w="2906"/>
      </w:tblGrid>
      <w:tr>
        <w:trPr>
          <w:tblHeader/>
        </w:trPr>
        <w:tc>
          <w:tcPr>
            <w:tcW w:type="dxa" w:w="29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Dimension</w:t>
            </w:r>
          </w:p>
        </w:tc>
        <w:tc>
          <w:tcPr>
            <w:tcW w:type="dxa" w:w="29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Model Unit</w:t>
            </w:r>
          </w:p>
        </w:tc>
        <w:tc>
          <w:tcPr>
            <w:tcW w:type="dxa" w:w="29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Clubhouse / Amenity</w:t>
            </w:r>
          </w:p>
        </w:tc>
      </w:tr>
      <w:tr>
        <w:trPr>
          <w:tblHeader w:val="false"/>
        </w:trPr>
        <w:tc>
          <w:tcPr>
            <w:tcW w:type="dxa" w:w="290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Decision cycle</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1–2 weeks — builder is always under timeline pressure</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4–6 months — complex brief, multiple stakeholders</w:t>
            </w:r>
          </w:p>
        </w:tc>
      </w:tr>
      <w:tr>
        <w:trPr>
          <w:tblHeader w:val="false"/>
        </w:trPr>
        <w:tc>
          <w:tcPr>
            <w:tcW w:type="dxa" w:w="290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Risk to builder</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Low — ₹15–25L is a rounding error on a ₹500Cr project</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High — ₹1–5Cr commitment requires deep confidence in vendor</w:t>
            </w:r>
          </w:p>
        </w:tc>
      </w:tr>
      <w:tr>
        <w:trPr>
          <w:tblHeader w:val="false"/>
        </w:trPr>
        <w:tc>
          <w:tcPr>
            <w:tcW w:type="dxa" w:w="290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Brief clarity</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Specific: BHK configuration, sqft, style direction, deadline</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Vague: conceptual, evolving, subject to MD changes</w:t>
            </w:r>
          </w:p>
        </w:tc>
      </w:tr>
      <w:tr>
        <w:trPr>
          <w:tblHeader w:val="false"/>
        </w:trPr>
        <w:tc>
          <w:tcPr>
            <w:tcW w:type="dxa" w:w="290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Repeat probability</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80–90% — a good show flat makes Rahul look like a hero</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50–60% — more competition, longer vendor list</w:t>
            </w:r>
          </w:p>
        </w:tc>
      </w:tr>
      <w:tr>
        <w:trPr>
          <w:tblHeader w:val="false"/>
        </w:trPr>
        <w:tc>
          <w:tcPr>
            <w:tcW w:type="dxa" w:w="290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beMore's leverage</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Project-specific concept proof creates asymmetric advantage</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Generic portfolio required — less differentiation possible</w:t>
            </w:r>
          </w:p>
        </w:tc>
      </w:tr>
    </w:tbl>
    <w:p>
      <w:pPr>
        <w:spacing w:before="0" w:after="320"/>
      </w:pPr>
    </w:p>
    <w:tbl>
      <w:tblPr>
        <w:tblW w:type="dxa" w:w="8720"/>
        <w:tblBorders>
          <w:top w:val="single" w:color="1A1A2E" w:sz="1"/>
          <w:left w:val="single" w:color="1A1A2E" w:sz="1"/>
          <w:bottom w:val="single" w:color="1A1A2E" w:sz="1"/>
          <w:right w:val="single" w:color="1A1A2E" w:sz="1"/>
          <w:insideH w:val="single" w:color="auto" w:sz="4"/>
          <w:insideV w:val="single" w:color="auto" w:sz="4"/>
        </w:tblBorders>
      </w:tblPr>
      <w:tblGrid>
        <w:gridCol w:w="8720"/>
      </w:tblGrid>
      <w:tr>
        <w:tc>
          <w:tcPr>
            <w:tcW w:type="dxa" w:w="8720"/>
            <w:tcBorders>
              <w:top w:val="single" w:color="1A1A2E" w:sz="1"/>
              <w:left w:val="single" w:color="1A1A2E" w:sz="1"/>
              <w:bottom w:val="single" w:color="1A1A2E" w:sz="1"/>
              <w:right w:val="single" w:color="1A1A2E" w:sz="1"/>
            </w:tcBorders>
            <w:shd w:fill="E8F5E9" w:val="clear"/>
            <w:tcMar>
              <w:top w:type="dxa" w:w="120"/>
              <w:left w:type="dxa" w:w="200"/>
              <w:bottom w:type="dxa" w:w="120"/>
              <w:right w:type="dxa" w:w="200"/>
            </w:tcMar>
          </w:tcPr>
          <w:p>
            <w:pPr>
              <w:spacing w:before="0" w:after="60"/>
            </w:pPr>
            <w:r>
              <w:rPr>
                <w:rFonts w:ascii="Arial" w:cs="Arial" w:eastAsia="Arial" w:hAnsi="Arial"/>
                <w:b/>
                <w:bCs/>
                <w:color w:val="1D6F42"/>
                <w:sz w:val="20"/>
                <w:szCs w:val="20"/>
              </w:rPr>
              <w:t xml:space="preserve">The Revenue Model</w:t>
            </w:r>
          </w:p>
          <w:p>
            <w:pPr>
              <w:spacing w:before="0" w:after="0"/>
            </w:pPr>
            <w:r>
              <w:rPr>
                <w:rFonts w:ascii="Arial" w:cs="Arial" w:eastAsia="Arial" w:hAnsi="Arial"/>
                <w:color w:val="1A1A1A"/>
                <w:sz w:val="22"/>
                <w:szCs w:val="22"/>
              </w:rPr>
              <w:t xml:space="preserve">A single Tier B builder with 5 projects per year, 2 model units each at ₹20L average = ₹2Cr per year from one relationship. The first model unit is not revenue — it is the investment that makes ₹2Cr/year possible. Frame the pilot brief accordingly.</w:t>
            </w:r>
          </w:p>
        </w:tc>
      </w:tr>
    </w:tbl>
    <w:p>
      <w:pPr>
        <w:spacing w:before="0" w:after="480"/>
      </w:pPr>
    </w:p>
    <w:p>
      <w:r>
        <w:br w:type="page"/>
      </w:r>
    </w:p>
    <w:p>
      <w:pPr>
        <w:pStyle w:val="Heading1"/>
        <w:pBdr>
          <w:bottom w:val="single" w:color="1A1A2E" w:sz="6" w:space="4"/>
        </w:pBdr>
        <w:spacing w:before="360" w:after="160"/>
      </w:pPr>
      <w:r>
        <w:rPr>
          <w:rFonts w:ascii="Arial" w:cs="Arial" w:eastAsia="Arial" w:hAnsi="Arial"/>
          <w:b/>
          <w:bCs/>
          <w:color w:val="1A1A2E"/>
          <w:sz w:val="32"/>
          <w:szCs w:val="32"/>
        </w:rPr>
        <w:t xml:space="preserve">4. Immediate Revenue — Godrej Woodscape Action Plan</w:t>
      </w:r>
    </w:p>
    <w:p>
      <w:pPr>
        <w:pStyle w:val="Heading2"/>
        <w:spacing w:before="280" w:after="120"/>
      </w:pPr>
      <w:r>
        <w:rPr>
          <w:rFonts w:ascii="Arial" w:cs="Arial" w:eastAsia="Arial" w:hAnsi="Arial"/>
          <w:b/>
          <w:bCs/>
          <w:color w:val="1A1A2E"/>
          <w:sz w:val="26"/>
          <w:szCs w:val="26"/>
        </w:rPr>
        <w:t xml:space="preserve">4.1  Why This Is The Highest-Priority Brief</w:t>
      </w:r>
    </w:p>
    <w:p>
      <w:pPr>
        <w:spacing w:before="60" w:after="100"/>
        <w:jc w:val="left"/>
      </w:pPr>
      <w:r>
        <w:rPr>
          <w:rFonts w:ascii="Arial" w:cs="Arial" w:eastAsia="Arial" w:hAnsi="Arial"/>
          <w:color w:val="1A1A1A"/>
          <w:sz w:val="22"/>
          <w:szCs w:val="22"/>
        </w:rPr>
        <w:t xml:space="preserve">Of all 95 leads in the research database, Godrej Woodscape represents the single most time-sensitive opportunity. Three factors converge simultaneously in a way that is rare in the builder market:</w:t>
      </w:r>
    </w:p>
    <w:p>
      <w:pPr>
        <w:spacing w:before="0" w:after="160"/>
      </w:pP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906"/>
        <w:gridCol w:w="2906"/>
        <w:gridCol w:w="2906"/>
      </w:tblGrid>
      <w:tr>
        <w:trPr>
          <w:tblHeader/>
        </w:trPr>
        <w:tc>
          <w:tcPr>
            <w:tcW w:type="dxa" w:w="29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Factor</w:t>
            </w:r>
          </w:p>
        </w:tc>
        <w:tc>
          <w:tcPr>
            <w:tcW w:type="dxa" w:w="29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It Means</w:t>
            </w:r>
          </w:p>
        </w:tc>
        <w:tc>
          <w:tcPr>
            <w:tcW w:type="dxa" w:w="29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Window</w:t>
            </w:r>
          </w:p>
        </w:tc>
      </w:tr>
      <w:tr>
        <w:trPr>
          <w:tblHeader w:val="false"/>
        </w:trPr>
        <w:tc>
          <w:tcPr>
            <w:tcW w:type="dxa" w:w="290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New design head, blank slate</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Sowmya Prakash just joined from Puravankara. She has no incumbent vendors, no loyalties, no 'we always use X'.</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3–4 weeks before shortlist forms</w:t>
            </w:r>
          </w:p>
        </w:tc>
      </w:tr>
      <w:tr>
        <w:trPr>
          <w:tblHeader w:val="false"/>
        </w:trPr>
        <w:tc>
          <w:tcPr>
            <w:tcW w:type="dxa" w:w="290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Project in pre-launch</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Woodscape on Budigere Cross has not yet assigned show flat vendors. The brief has not gone out.</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Open now</w:t>
            </w:r>
          </w:p>
        </w:tc>
      </w:tr>
      <w:tr>
        <w:trPr>
          <w:tblHeader w:val="false"/>
        </w:trPr>
        <w:tc>
          <w:tcPr>
            <w:tcW w:type="dxa" w:w="290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Godrej's growth trajectory</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₹6,970Cr revenue FY25 — 61% YoY growth. Sowmya's mandate is aggressive South zone expansion.</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Multi-year opportunity</w:t>
            </w:r>
          </w:p>
        </w:tc>
      </w:tr>
    </w:tbl>
    <w:p>
      <w:pPr>
        <w:spacing w:before="0" w:after="320"/>
      </w:pPr>
    </w:p>
    <w:p>
      <w:pPr>
        <w:spacing w:before="60" w:after="100"/>
        <w:jc w:val="left"/>
      </w:pPr>
      <w:r>
        <w:rPr>
          <w:rFonts w:ascii="Arial" w:cs="Arial" w:eastAsia="Arial" w:hAnsi="Arial"/>
          <w:b/>
          <w:bCs/>
          <w:color w:val="1D6F42"/>
          <w:sz w:val="22"/>
          <w:szCs w:val="22"/>
        </w:rPr>
        <w:t xml:space="preserve">Starting from scratch is not a disadvantage here — Sowmya is also starting from scratch. The vendor who reaches her first, with project-specific work, wins by default.</w:t>
      </w:r>
    </w:p>
    <w:p>
      <w:pPr>
        <w:pStyle w:val="Heading2"/>
        <w:spacing w:before="280" w:after="120"/>
      </w:pPr>
      <w:r>
        <w:rPr>
          <w:rFonts w:ascii="Arial" w:cs="Arial" w:eastAsia="Arial" w:hAnsi="Arial"/>
          <w:b/>
          <w:bCs/>
          <w:color w:val="1A1A2E"/>
          <w:sz w:val="26"/>
          <w:szCs w:val="26"/>
        </w:rPr>
        <w:t xml:space="preserve">4.2  The Seven-Day Action Plan</w:t>
      </w:r>
    </w:p>
    <w:p>
      <w:pPr>
        <w:spacing w:before="0" w:after="160"/>
      </w:pP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5720"/>
      </w:tblGrid>
      <w:tr>
        <w:trPr>
          <w:tblHeader/>
        </w:trPr>
        <w:tc>
          <w:tcPr>
            <w:tcW w:type="dxa" w:w="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Day</w:t>
            </w:r>
          </w:p>
        </w:tc>
        <w:tc>
          <w:tcPr>
            <w:tcW w:type="dxa" w:w="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Action</w:t>
            </w:r>
          </w:p>
        </w:tc>
        <w:tc>
          <w:tcPr>
            <w:tcW w:type="dxa" w:w="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Detail</w:t>
            </w:r>
          </w:p>
        </w:tc>
      </w:tr>
      <w:tr>
        <w:tc>
          <w:tcPr>
            <w:tcW w:type="dxa" w:w="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Day 1</w:t>
            </w:r>
          </w:p>
        </w:tc>
        <w:tc>
          <w:tcPr>
            <w:tcW w:type="dxa" w:w="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0" w:after="0"/>
            </w:pPr>
            <w:r>
              <w:rPr>
                <w:rFonts w:ascii="Arial" w:cs="Arial" w:eastAsia="Arial" w:hAnsi="Arial"/>
                <w:b w:val="false"/>
                <w:bCs w:val="false"/>
                <w:color w:val="1A1A1A"/>
                <w:sz w:val="20"/>
                <w:szCs w:val="20"/>
              </w:rPr>
              <w:t xml:space="preserve">Research &amp; Follow</w:t>
            </w:r>
          </w:p>
        </w:tc>
        <w:tc>
          <w:tcPr>
            <w:tcW w:type="dxa" w:w="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0" w:after="0"/>
            </w:pPr>
            <w:r>
              <w:rPr>
                <w:rFonts w:ascii="Arial" w:cs="Arial" w:eastAsia="Arial" w:hAnsi="Arial"/>
                <w:b w:val="false"/>
                <w:bCs w:val="false"/>
                <w:color w:val="1A1A1A"/>
                <w:sz w:val="20"/>
                <w:szCs w:val="20"/>
              </w:rPr>
              <w:t xml:space="preserve">Search 'Sowmya Prakash Godrej Properties' on LinkedIn. Follow her profile — do not connect yet. Read her last 10 posts to understand her design language (sustainability? community? buyer experience?). Simultaneously search 'Godrej Woodscape Budigere Cross' — read everything. Understand the project's stated design narrative, location, buyer profile, and possession timeline.</w:t>
            </w:r>
          </w:p>
        </w:tc>
      </w:tr>
      <w:tr>
        <w:tc>
          <w:tcPr>
            <w:tcW w:type="dxa" w:w="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Day 2</w:t>
            </w:r>
          </w:p>
        </w:tc>
        <w:tc>
          <w:tcPr>
            <w:tcW w:type="dxa" w:w="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spacing w:before="0" w:after="0"/>
            </w:pPr>
            <w:r>
              <w:rPr>
                <w:rFonts w:ascii="Arial" w:cs="Arial" w:eastAsia="Arial" w:hAnsi="Arial"/>
                <w:b w:val="false"/>
                <w:bCs w:val="false"/>
                <w:color w:val="1A1A1A"/>
                <w:sz w:val="20"/>
                <w:szCs w:val="20"/>
              </w:rPr>
              <w:t xml:space="preserve">Build the Concept Proof</w:t>
            </w:r>
          </w:p>
        </w:tc>
        <w:tc>
          <w:tcPr>
            <w:tcW w:type="dxa" w:w="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spacing w:before="0" w:after="0"/>
            </w:pPr>
            <w:r>
              <w:rPr>
                <w:rFonts w:ascii="Arial" w:cs="Arial" w:eastAsia="Arial" w:hAnsi="Arial"/>
                <w:b w:val="false"/>
                <w:bCs w:val="false"/>
                <w:color w:val="1A1A1A"/>
                <w:sz w:val="20"/>
                <w:szCs w:val="20"/>
              </w:rPr>
              <w:t xml:space="preserve">Create a mood board for a single room (living room or master bedroom) for Woodscape specifically. Forest theme — warm wood tones, stone textures, deep greens, organic shapes. Tools: Canva or Milanote. 4–6 images, a colour palette, 3 material callouts, one line of design intent. This is not a proposal. It is proof that you have already thought about their project.</w:t>
            </w:r>
          </w:p>
        </w:tc>
      </w:tr>
      <w:tr>
        <w:tc>
          <w:tcPr>
            <w:tcW w:type="dxa" w:w="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Day 3</w:t>
            </w:r>
          </w:p>
        </w:tc>
        <w:tc>
          <w:tcPr>
            <w:tcW w:type="dxa" w:w="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0" w:after="0"/>
            </w:pPr>
            <w:r>
              <w:rPr>
                <w:rFonts w:ascii="Arial" w:cs="Arial" w:eastAsia="Arial" w:hAnsi="Arial"/>
                <w:b w:val="false"/>
                <w:bCs w:val="false"/>
                <w:color w:val="1A1A1A"/>
                <w:sz w:val="20"/>
                <w:szCs w:val="20"/>
              </w:rPr>
              <w:t xml:space="preserve">Send Connection Request</w:t>
            </w:r>
          </w:p>
        </w:tc>
        <w:tc>
          <w:tcPr>
            <w:tcW w:type="dxa" w:w="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0" w:after="0"/>
            </w:pPr>
            <w:r>
              <w:rPr>
                <w:rFonts w:ascii="Arial" w:cs="Arial" w:eastAsia="Arial" w:hAnsi="Arial"/>
                <w:b w:val="false"/>
                <w:bCs w:val="false"/>
                <w:color w:val="1A1A1A"/>
                <w:sz w:val="20"/>
                <w:szCs w:val="20"/>
              </w:rPr>
              <w:t xml:space="preserve">Send a LinkedIn connection request with a 300-character note: 'Hi Sowmya — I've been following Godrej Woodscape closely since the Budigere Cross announcement. The forest-corridor positioning is rare for that zone. Bemore Design Studio specialises in show flats for residential pre-launches — would be glad to connect.' No pitch. No ask. Just a signal that you know the project.</w:t>
            </w:r>
          </w:p>
        </w:tc>
      </w:tr>
      <w:tr>
        <w:tc>
          <w:tcPr>
            <w:tcW w:type="dxa" w:w="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Day 4–5</w:t>
            </w:r>
          </w:p>
        </w:tc>
        <w:tc>
          <w:tcPr>
            <w:tcW w:type="dxa" w:w="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spacing w:before="0" w:after="0"/>
            </w:pPr>
            <w:r>
              <w:rPr>
                <w:rFonts w:ascii="Arial" w:cs="Arial" w:eastAsia="Arial" w:hAnsi="Arial"/>
                <w:b w:val="false"/>
                <w:bCs w:val="false"/>
                <w:color w:val="1A1A1A"/>
                <w:sz w:val="20"/>
                <w:szCs w:val="20"/>
              </w:rPr>
              <w:t xml:space="preserve">Build the 3-Slide PDF</w:t>
            </w:r>
          </w:p>
        </w:tc>
        <w:tc>
          <w:tcPr>
            <w:tcW w:type="dxa" w:w="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spacing w:before="0" w:after="0"/>
            </w:pPr>
            <w:r>
              <w:rPr>
                <w:rFonts w:ascii="Arial" w:cs="Arial" w:eastAsia="Arial" w:hAnsi="Arial"/>
                <w:b w:val="false"/>
                <w:bCs w:val="false"/>
                <w:color w:val="1A1A1A"/>
                <w:sz w:val="20"/>
                <w:szCs w:val="20"/>
              </w:rPr>
              <w:t xml:space="preserve">While waiting for the connection to be accepted: Slide 1 — Who beMore is (one paragraph, show flat specialist positioning only). Slide 2 — Best completed work, photographed properly. Slide 3 — What you'd bring to Woodscape specifically. Name the file: 'beMore Design Studio — Godrej Woodscape Reference.pdf'. This naming matters when she searches her downloads folder three weeks later.</w:t>
            </w:r>
          </w:p>
        </w:tc>
      </w:tr>
      <w:tr>
        <w:tc>
          <w:tcPr>
            <w:tcW w:type="dxa" w:w="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Day 6–7</w:t>
            </w:r>
          </w:p>
        </w:tc>
        <w:tc>
          <w:tcPr>
            <w:tcW w:type="dxa" w:w="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0" w:after="0"/>
            </w:pPr>
            <w:r>
              <w:rPr>
                <w:rFonts w:ascii="Arial" w:cs="Arial" w:eastAsia="Arial" w:hAnsi="Arial"/>
                <w:b w:val="false"/>
                <w:bCs w:val="false"/>
                <w:color w:val="1A1A1A"/>
                <w:sz w:val="20"/>
                <w:szCs w:val="20"/>
              </w:rPr>
              <w:t xml:space="preserve">Send First Message</w:t>
            </w:r>
          </w:p>
        </w:tc>
        <w:tc>
          <w:tcPr>
            <w:tcW w:type="dxa" w:w="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0" w:after="0"/>
            </w:pPr>
            <w:r>
              <w:rPr>
                <w:rFonts w:ascii="Arial" w:cs="Arial" w:eastAsia="Arial" w:hAnsi="Arial"/>
                <w:b w:val="false"/>
                <w:bCs w:val="false"/>
                <w:color w:val="1A1A1A"/>
                <w:sz w:val="20"/>
                <w:szCs w:val="20"/>
              </w:rPr>
              <w:t xml:space="preserve">24 hours after she accepts, send: 'Thank you for connecting Sowmya. Bemore Design Studio does model units and show flats exclusively for residential pre-launches in Bangalore. Woodscape's forest-corridor positioning on Budigere Cross is exactly the kind of brief we love — there's a clear design narrative to build the show flat around, not just a spec sheet to furnish. If the show flat brief is being scoped right now, I'd love 20 minutes to show you a concept we've already put together. Would any slot work this week or next?'</w:t>
            </w:r>
          </w:p>
        </w:tc>
      </w:tr>
      <w:tr>
        <w:tc>
          <w:tcPr>
            <w:tcW w:type="dxa" w:w="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Day 7 (parallel)</w:t>
            </w:r>
          </w:p>
        </w:tc>
        <w:tc>
          <w:tcPr>
            <w:tcW w:type="dxa" w:w="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spacing w:before="0" w:after="0"/>
            </w:pPr>
            <w:r>
              <w:rPr>
                <w:rFonts w:ascii="Arial" w:cs="Arial" w:eastAsia="Arial" w:hAnsi="Arial"/>
                <w:b w:val="false"/>
                <w:bCs w:val="false"/>
                <w:color w:val="1A1A1A"/>
                <w:sz w:val="20"/>
                <w:szCs w:val="20"/>
              </w:rPr>
              <w:t xml:space="preserve">Start Formal Empanelment</w:t>
            </w:r>
          </w:p>
        </w:tc>
        <w:tc>
          <w:tcPr>
            <w:tcW w:type="dxa" w:w="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spacing w:before="0" w:after="0"/>
            </w:pPr>
            <w:r>
              <w:rPr>
                <w:rFonts w:ascii="Arial" w:cs="Arial" w:eastAsia="Arial" w:hAnsi="Arial"/>
                <w:b w:val="false"/>
                <w:bCs w:val="false"/>
                <w:color w:val="1A1A1A"/>
                <w:sz w:val="20"/>
                <w:szCs w:val="20"/>
              </w:rPr>
              <w:t xml:space="preserve">Call Godrej Properties Bangalore office. Ask: 'I'm a design firm interested in vendor empanelment for model unit and show flat design — who in procurement should I speak with?' Get a name. Submit company profile and GST certificate immediately. Empanelment takes 3–6 weeks — starting now means it's complete by the time Sowmya says yes.</w:t>
            </w:r>
          </w:p>
        </w:tc>
      </w:tr>
    </w:tbl>
    <w:p>
      <w:pPr>
        <w:spacing w:before="0" w:after="320"/>
      </w:pPr>
    </w:p>
    <w:p>
      <w:pPr>
        <w:pStyle w:val="Heading2"/>
        <w:spacing w:before="280" w:after="120"/>
      </w:pPr>
      <w:r>
        <w:rPr>
          <w:rFonts w:ascii="Arial" w:cs="Arial" w:eastAsia="Arial" w:hAnsi="Arial"/>
          <w:b/>
          <w:bCs/>
          <w:color w:val="1A1A2E"/>
          <w:sz w:val="26"/>
          <w:szCs w:val="26"/>
        </w:rPr>
        <w:t xml:space="preserve">4.3  The Meeting — Minute-by-Minute Structure</w:t>
      </w:r>
    </w:p>
    <w:p>
      <w:pPr>
        <w:spacing w:before="60" w:after="100"/>
        <w:jc w:val="left"/>
      </w:pPr>
      <w:r>
        <w:rPr>
          <w:rFonts w:ascii="Arial" w:cs="Arial" w:eastAsia="Arial" w:hAnsi="Arial"/>
          <w:color w:val="1A1A1A"/>
          <w:sz w:val="22"/>
          <w:szCs w:val="22"/>
        </w:rPr>
        <w:t xml:space="preserve">If Sowmya agrees to 20 minutes, this structure converts the meeting into a brief invitation:</w:t>
      </w:r>
    </w:p>
    <w:p>
      <w:pPr>
        <w:spacing w:before="0" w:after="160"/>
      </w:pP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1400"/>
        <w:gridCol w:w="7320"/>
      </w:tblGrid>
      <w:tr>
        <w:trPr>
          <w:tblHeader/>
        </w:trP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Timing</w:t>
            </w:r>
          </w:p>
        </w:tc>
        <w:tc>
          <w:tcPr>
            <w:tcW w:type="dxa" w:w="73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To Do &amp; Say</w:t>
            </w:r>
          </w:p>
        </w:tc>
      </w:tr>
      <w:tr>
        <w:trPr>
          <w:tblHeader w:val="false"/>
        </w:trPr>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Minutes 1–2</w:t>
            </w:r>
          </w:p>
        </w:tc>
        <w:tc>
          <w:tcPr>
            <w:tcW w:type="dxa" w:w="7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Set the frame upfront: 'I'll keep this to 20 minutes. I want to show you one concept, tell you how we work, and then hear from you about where the Woodscape brief is right now.' This signals professionalism and respect for her time.</w:t>
            </w:r>
          </w:p>
        </w:tc>
      </w:tr>
      <w:tr>
        <w:trPr>
          <w:tblHeader w:val="false"/>
        </w:trPr>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Minutes 3–8</w:t>
            </w:r>
          </w:p>
        </w:tc>
        <w:tc>
          <w:tcPr>
            <w:tcW w:type="dxa" w:w="7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Walk through the Woodscape concept proof. Talk about design decisions — why those materials, why that palette, what it communicates to the buyer walking in. The goal is not to impress her with the concept — it is to show her how you think.</w:t>
            </w:r>
          </w:p>
        </w:tc>
      </w:tr>
      <w:tr>
        <w:trPr>
          <w:tblHeader w:val="false"/>
        </w:trPr>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Minutes 9–14</w:t>
            </w:r>
          </w:p>
        </w:tc>
        <w:tc>
          <w:tcPr>
            <w:tcW w:type="dxa" w:w="7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How beMore works: Timeline (exact number — '4 weeks from brief sign-off to handover'), Process (site visits, revision rounds, approval loops), What you need from them (clear brief, unit access, one point of contact).</w:t>
            </w:r>
          </w:p>
        </w:tc>
      </w:tr>
      <w:tr>
        <w:trPr>
          <w:tblHeader w:val="false"/>
        </w:trPr>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Minutes 15–19</w:t>
            </w:r>
          </w:p>
        </w:tc>
        <w:tc>
          <w:tcPr>
            <w:tcW w:type="dxa" w:w="7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Ask and listen: 'Where is the Woodscape show flat brief right now — is it being scoped, or has a timeline been set?' Then stop talking. Her answer tells you the next step.</w:t>
            </w:r>
          </w:p>
        </w:tc>
      </w:tr>
      <w:tr>
        <w:trPr>
          <w:tblHeader w:val="false"/>
        </w:trPr>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Minute 20</w:t>
            </w:r>
          </w:p>
        </w:tc>
        <w:tc>
          <w:tcPr>
            <w:tcW w:type="dxa" w:w="7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The close: 'What would it take to get beMore on the shortlist for the Woodscape show flat? I'm happy to submit whatever you need — company profile, references, a more detailed concept. What's most useful to you?' Ask her to tell you how to win.</w:t>
            </w:r>
          </w:p>
        </w:tc>
      </w:tr>
    </w:tbl>
    <w:p>
      <w:pPr>
        <w:spacing w:before="0" w:after="320"/>
      </w:pPr>
    </w:p>
    <w:p>
      <w:pPr>
        <w:pStyle w:val="Heading2"/>
        <w:spacing w:before="280" w:after="120"/>
      </w:pPr>
      <w:r>
        <w:rPr>
          <w:rFonts w:ascii="Arial" w:cs="Arial" w:eastAsia="Arial" w:hAnsi="Arial"/>
          <w:b/>
          <w:bCs/>
          <w:color w:val="1A1A2E"/>
          <w:sz w:val="26"/>
          <w:szCs w:val="26"/>
        </w:rPr>
        <w:t xml:space="preserve">4.4  Revenue Scenario — Godrej Woodscape</w:t>
      </w:r>
    </w:p>
    <w:p>
      <w:pPr>
        <w:spacing w:before="0" w:after="160"/>
      </w:pP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180"/>
        <w:gridCol w:w="2180"/>
        <w:gridCol w:w="2180"/>
        <w:gridCol w:w="2180"/>
      </w:tblGrid>
      <w:tr>
        <w:tc>
          <w:tcPr>
            <w:tcW w:type="dxa" w:w="2180"/>
            <w:tcBorders>
              <w:top w:val="single" w:color="1A1A2E" w:sz="1"/>
              <w:left w:val="single" w:color="1A1A2E" w:sz="1"/>
              <w:bottom w:val="single" w:color="1A1A2E" w:sz="1"/>
              <w:right w:val="single" w:color="1A1A2E" w:sz="1"/>
            </w:tcBorders>
            <w:shd w:fill="1A1A2E" w:val="clear"/>
            <w:tcMar>
              <w:top w:type="dxa" w:w="120"/>
              <w:left w:type="dxa" w:w="100"/>
              <w:bottom w:type="dxa" w:w="120"/>
              <w:right w:type="dxa" w:w="100"/>
            </w:tcMar>
            <w:vAlign w:val="center"/>
          </w:tcPr>
          <w:p>
            <w:pPr>
              <w:spacing w:before="0" w:after="40"/>
              <w:jc w:val="center"/>
            </w:pPr>
            <w:r>
              <w:rPr>
                <w:rFonts w:ascii="Arial" w:cs="Arial" w:eastAsia="Arial" w:hAnsi="Arial"/>
                <w:b/>
                <w:bCs/>
                <w:color w:val="C9A84C"/>
                <w:sz w:val="40"/>
                <w:szCs w:val="40"/>
              </w:rPr>
              <w:t xml:space="preserve">₹12–18L</w:t>
            </w:r>
          </w:p>
          <w:p>
            <w:pPr>
              <w:spacing w:before="0" w:after="0"/>
              <w:jc w:val="center"/>
            </w:pPr>
            <w:r>
              <w:rPr>
                <w:rFonts w:ascii="Arial" w:cs="Arial" w:eastAsia="Arial" w:hAnsi="Arial"/>
                <w:color w:val="FFFFFF"/>
                <w:sz w:val="18"/>
                <w:szCs w:val="18"/>
              </w:rPr>
              <w:t xml:space="preserve">2BHK show flat (design + execution)</w:t>
            </w:r>
          </w:p>
        </w:tc>
        <w:tc>
          <w:tcPr>
            <w:tcW w:type="dxa" w:w="2180"/>
            <w:tcBorders>
              <w:top w:val="single" w:color="1A1A2E" w:sz="1"/>
              <w:left w:val="single" w:color="1A1A2E" w:sz="1"/>
              <w:bottom w:val="single" w:color="1A1A2E" w:sz="1"/>
              <w:right w:val="single" w:color="1A1A2E" w:sz="1"/>
            </w:tcBorders>
            <w:shd w:fill="1A1A2E" w:val="clear"/>
            <w:tcMar>
              <w:top w:type="dxa" w:w="120"/>
              <w:left w:type="dxa" w:w="100"/>
              <w:bottom w:type="dxa" w:w="120"/>
              <w:right w:type="dxa" w:w="100"/>
            </w:tcMar>
            <w:vAlign w:val="center"/>
          </w:tcPr>
          <w:p>
            <w:pPr>
              <w:spacing w:before="0" w:after="40"/>
              <w:jc w:val="center"/>
            </w:pPr>
            <w:r>
              <w:rPr>
                <w:rFonts w:ascii="Arial" w:cs="Arial" w:eastAsia="Arial" w:hAnsi="Arial"/>
                <w:b/>
                <w:bCs/>
                <w:color w:val="C9A84C"/>
                <w:sz w:val="40"/>
                <w:szCs w:val="40"/>
              </w:rPr>
              <w:t xml:space="preserve">₹18–28L</w:t>
            </w:r>
          </w:p>
          <w:p>
            <w:pPr>
              <w:spacing w:before="0" w:after="0"/>
              <w:jc w:val="center"/>
            </w:pPr>
            <w:r>
              <w:rPr>
                <w:rFonts w:ascii="Arial" w:cs="Arial" w:eastAsia="Arial" w:hAnsi="Arial"/>
                <w:color w:val="FFFFFF"/>
                <w:sz w:val="18"/>
                <w:szCs w:val="18"/>
              </w:rPr>
              <w:t xml:space="preserve">3BHK show flat</w:t>
            </w:r>
          </w:p>
        </w:tc>
        <w:tc>
          <w:tcPr>
            <w:tcW w:type="dxa" w:w="2180"/>
            <w:tcBorders>
              <w:top w:val="single" w:color="1A1A2E" w:sz="1"/>
              <w:left w:val="single" w:color="1A1A2E" w:sz="1"/>
              <w:bottom w:val="single" w:color="1A1A2E" w:sz="1"/>
              <w:right w:val="single" w:color="1A1A2E" w:sz="1"/>
            </w:tcBorders>
            <w:shd w:fill="1A1A2E" w:val="clear"/>
            <w:tcMar>
              <w:top w:type="dxa" w:w="120"/>
              <w:left w:type="dxa" w:w="100"/>
              <w:bottom w:type="dxa" w:w="120"/>
              <w:right w:type="dxa" w:w="100"/>
            </w:tcMar>
            <w:vAlign w:val="center"/>
          </w:tcPr>
          <w:p>
            <w:pPr>
              <w:spacing w:before="0" w:after="40"/>
              <w:jc w:val="center"/>
            </w:pPr>
            <w:r>
              <w:rPr>
                <w:rFonts w:ascii="Arial" w:cs="Arial" w:eastAsia="Arial" w:hAnsi="Arial"/>
                <w:b/>
                <w:bCs/>
                <w:color w:val="C9A84C"/>
                <w:sz w:val="40"/>
                <w:szCs w:val="40"/>
              </w:rPr>
              <w:t xml:space="preserve">₹30–50L</w:t>
            </w:r>
          </w:p>
          <w:p>
            <w:pPr>
              <w:spacing w:before="0" w:after="0"/>
              <w:jc w:val="center"/>
            </w:pPr>
            <w:r>
              <w:rPr>
                <w:rFonts w:ascii="Arial" w:cs="Arial" w:eastAsia="Arial" w:hAnsi="Arial"/>
                <w:color w:val="FFFFFF"/>
                <w:sz w:val="18"/>
                <w:szCs w:val="18"/>
              </w:rPr>
              <w:t xml:space="preserve">4BHK show flat</w:t>
            </w:r>
          </w:p>
        </w:tc>
        <w:tc>
          <w:tcPr>
            <w:tcW w:type="dxa" w:w="2180"/>
            <w:tcBorders>
              <w:top w:val="single" w:color="1A1A2E" w:sz="1"/>
              <w:left w:val="single" w:color="1A1A2E" w:sz="1"/>
              <w:bottom w:val="single" w:color="1A1A2E" w:sz="1"/>
              <w:right w:val="single" w:color="1A1A2E" w:sz="1"/>
            </w:tcBorders>
            <w:shd w:fill="1A1A2E" w:val="clear"/>
            <w:tcMar>
              <w:top w:type="dxa" w:w="120"/>
              <w:left w:type="dxa" w:w="100"/>
              <w:bottom w:type="dxa" w:w="120"/>
              <w:right w:type="dxa" w:w="100"/>
            </w:tcMar>
            <w:vAlign w:val="center"/>
          </w:tcPr>
          <w:p>
            <w:pPr>
              <w:spacing w:before="0" w:after="40"/>
              <w:jc w:val="center"/>
            </w:pPr>
            <w:r>
              <w:rPr>
                <w:rFonts w:ascii="Arial" w:cs="Arial" w:eastAsia="Arial" w:hAnsi="Arial"/>
                <w:b/>
                <w:bCs/>
                <w:color w:val="C9A84C"/>
                <w:sz w:val="40"/>
                <w:szCs w:val="40"/>
              </w:rPr>
              <w:t xml:space="preserve">₹60–90L</w:t>
            </w:r>
          </w:p>
          <w:p>
            <w:pPr>
              <w:spacing w:before="0" w:after="0"/>
              <w:jc w:val="center"/>
            </w:pPr>
            <w:r>
              <w:rPr>
                <w:rFonts w:ascii="Arial" w:cs="Arial" w:eastAsia="Arial" w:hAnsi="Arial"/>
                <w:color w:val="FFFFFF"/>
                <w:sz w:val="18"/>
                <w:szCs w:val="18"/>
              </w:rPr>
              <w:t xml:space="preserve">All 3 configurations</w:t>
            </w:r>
          </w:p>
        </w:tc>
      </w:tr>
    </w:tbl>
    <w:p>
      <w:pPr>
        <w:spacing w:before="0" w:after="240"/>
      </w:pPr>
    </w:p>
    <w:tbl>
      <w:tblPr>
        <w:tblW w:type="dxa" w:w="8720"/>
        <w:tblBorders>
          <w:top w:val="single" w:color="1A1A2E" w:sz="1"/>
          <w:left w:val="single" w:color="1A1A2E" w:sz="1"/>
          <w:bottom w:val="single" w:color="1A1A2E" w:sz="1"/>
          <w:right w:val="single" w:color="1A1A2E" w:sz="1"/>
          <w:insideH w:val="single" w:color="auto" w:sz="4"/>
          <w:insideV w:val="single" w:color="auto" w:sz="4"/>
        </w:tblBorders>
      </w:tblPr>
      <w:tblGrid>
        <w:gridCol w:w="8720"/>
      </w:tblGrid>
      <w:tr>
        <w:tc>
          <w:tcPr>
            <w:tcW w:type="dxa" w:w="8720"/>
            <w:tcBorders>
              <w:top w:val="single" w:color="1A1A2E" w:sz="1"/>
              <w:left w:val="single" w:color="1A1A2E" w:sz="1"/>
              <w:bottom w:val="single" w:color="1A1A2E" w:sz="1"/>
              <w:right w:val="single" w:color="1A1A2E" w:sz="1"/>
            </w:tcBorders>
            <w:shd w:fill="E8F5E9" w:val="clear"/>
            <w:tcMar>
              <w:top w:type="dxa" w:w="120"/>
              <w:left w:type="dxa" w:w="200"/>
              <w:bottom w:type="dxa" w:w="120"/>
              <w:right w:type="dxa" w:w="200"/>
            </w:tcMar>
          </w:tcPr>
          <w:p>
            <w:pPr>
              <w:spacing w:before="0" w:after="60"/>
            </w:pPr>
            <w:r>
              <w:rPr>
                <w:rFonts w:ascii="Arial" w:cs="Arial" w:eastAsia="Arial" w:hAnsi="Arial"/>
                <w:b/>
                <w:bCs/>
                <w:color w:val="1D6F42"/>
                <w:sz w:val="20"/>
                <w:szCs w:val="20"/>
              </w:rPr>
              <w:t xml:space="preserve">The Bigger Picture</w:t>
            </w:r>
          </w:p>
          <w:p>
            <w:pPr>
              <w:spacing w:before="0" w:after="0"/>
            </w:pPr>
            <w:r>
              <w:rPr>
                <w:rFonts w:ascii="Arial" w:cs="Arial" w:eastAsia="Arial" w:hAnsi="Arial"/>
                <w:color w:val="1A1A1A"/>
                <w:sz w:val="22"/>
                <w:szCs w:val="22"/>
              </w:rPr>
              <w:t xml:space="preserve">This is not just one brief. A well-executed Woodscape show flat puts beMore in Sowmya's vendor shortlist for every Godrej South zone launch that follows — Lakeside Orchard (47,000 sqft clubhouse + show flat), Woodscape Phase 2, and every new project she files in her tenure. One relationship with one design head at a Tier A builder generates ₹2–4Cr over a two-year horizon.</w:t>
            </w:r>
          </w:p>
        </w:tc>
      </w:tr>
    </w:tbl>
    <w:p>
      <w:pPr>
        <w:spacing w:before="0" w:after="480"/>
      </w:pPr>
    </w:p>
    <w:p>
      <w:r>
        <w:br w:type="page"/>
      </w:r>
    </w:p>
    <w:p>
      <w:pPr>
        <w:pStyle w:val="Heading1"/>
        <w:pBdr>
          <w:bottom w:val="single" w:color="1A1A2E" w:sz="6" w:space="4"/>
        </w:pBdr>
        <w:spacing w:before="360" w:after="160"/>
      </w:pPr>
      <w:r>
        <w:rPr>
          <w:rFonts w:ascii="Arial" w:cs="Arial" w:eastAsia="Arial" w:hAnsi="Arial"/>
          <w:b/>
          <w:bCs/>
          <w:color w:val="1A1A2E"/>
          <w:sz w:val="32"/>
          <w:szCs w:val="32"/>
        </w:rPr>
        <w:t xml:space="preserve">5. Prestige Group — Empanelment Strategy</w:t>
      </w:r>
    </w:p>
    <w:p>
      <w:pPr>
        <w:pStyle w:val="Heading2"/>
        <w:spacing w:before="280" w:after="120"/>
      </w:pPr>
      <w:r>
        <w:rPr>
          <w:rFonts w:ascii="Arial" w:cs="Arial" w:eastAsia="Arial" w:hAnsi="Arial"/>
          <w:b/>
          <w:bCs/>
          <w:color w:val="1A1A2E"/>
          <w:sz w:val="26"/>
          <w:szCs w:val="26"/>
        </w:rPr>
        <w:t xml:space="preserve">5.1  The Critical Context: Morph Design Company</w:t>
      </w:r>
    </w:p>
    <w:tbl>
      <w:tblPr>
        <w:tblW w:type="dxa" w:w="8720"/>
        <w:tblBorders>
          <w:top w:val="single" w:color="1A1A2E" w:sz="1"/>
          <w:left w:val="single" w:color="1A1A2E" w:sz="1"/>
          <w:bottom w:val="single" w:color="1A1A2E" w:sz="1"/>
          <w:right w:val="single" w:color="1A1A2E" w:sz="1"/>
          <w:insideH w:val="single" w:color="auto" w:sz="4"/>
          <w:insideV w:val="single" w:color="auto" w:sz="4"/>
        </w:tblBorders>
      </w:tblPr>
      <w:tblGrid>
        <w:gridCol w:w="8720"/>
      </w:tblGrid>
      <w:tr>
        <w:tc>
          <w:tcPr>
            <w:tcW w:type="dxa" w:w="8720"/>
            <w:tcBorders>
              <w:top w:val="single" w:color="1A1A2E" w:sz="1"/>
              <w:left w:val="single" w:color="1A1A2E" w:sz="1"/>
              <w:bottom w:val="single" w:color="1A1A2E" w:sz="1"/>
              <w:right w:val="single" w:color="1A1A2E" w:sz="1"/>
            </w:tcBorders>
            <w:shd w:fill="FFF3E0" w:val="clear"/>
            <w:tcMar>
              <w:top w:type="dxa" w:w="120"/>
              <w:left w:type="dxa" w:w="200"/>
              <w:bottom w:type="dxa" w:w="120"/>
              <w:right w:type="dxa" w:w="200"/>
            </w:tcMar>
          </w:tcPr>
          <w:p>
            <w:pPr>
              <w:spacing w:before="0" w:after="60"/>
            </w:pPr>
            <w:r>
              <w:rPr>
                <w:rFonts w:ascii="Arial" w:cs="Arial" w:eastAsia="Arial" w:hAnsi="Arial"/>
                <w:b/>
                <w:bCs/>
                <w:color w:val="B7420A"/>
                <w:sz w:val="20"/>
                <w:szCs w:val="20"/>
              </w:rPr>
              <w:t xml:space="preserve">Positioning Alert — Read Before Any Prestige Outreach</w:t>
            </w:r>
          </w:p>
          <w:p>
            <w:pPr>
              <w:spacing w:before="0" w:after="0"/>
            </w:pPr>
            <w:r>
              <w:rPr>
                <w:rFonts w:ascii="Arial" w:cs="Arial" w:eastAsia="Arial" w:hAnsi="Arial"/>
                <w:color w:val="1A1A1A"/>
                <w:sz w:val="22"/>
                <w:szCs w:val="22"/>
              </w:rPr>
              <w:t xml:space="preserve">Prestige has an internal interior design subsidiary called Morph Design Company (MDC). MDC handles residential interiors — fit-outs and turnkey packages sold to buyers. beMore must NEVER pitch as a residential interiors company to Prestige. MDC is in that lane. The lane that is completely open is show flats, model units, and clubhouse design. Always position as: 'We are a show flat and model unit specialist. We work exclusively with builders during the pre-launch phase to create show units that convert site visits to bookings.' Never say 'interior design studio.' Say 'model unit specialist.'</w:t>
            </w:r>
          </w:p>
        </w:tc>
      </w:tr>
    </w:tbl>
    <w:p>
      <w:pPr>
        <w:spacing w:before="0" w:after="320"/>
      </w:pPr>
    </w:p>
    <w:p>
      <w:pPr>
        <w:pStyle w:val="Heading2"/>
        <w:spacing w:before="280" w:after="120"/>
      </w:pPr>
      <w:r>
        <w:rPr>
          <w:rFonts w:ascii="Arial" w:cs="Arial" w:eastAsia="Arial" w:hAnsi="Arial"/>
          <w:b/>
          <w:bCs/>
          <w:color w:val="1A1A2E"/>
          <w:sz w:val="26"/>
          <w:szCs w:val="26"/>
        </w:rPr>
        <w:t xml:space="preserve">5.2  Decision-Maker Map at Prestige</w:t>
      </w:r>
    </w:p>
    <w:p>
      <w:pPr>
        <w:spacing w:before="60" w:after="100"/>
        <w:jc w:val="left"/>
      </w:pPr>
      <w:r>
        <w:rPr>
          <w:rFonts w:ascii="Arial" w:cs="Arial" w:eastAsia="Arial" w:hAnsi="Arial"/>
          <w:color w:val="1A1A1A"/>
          <w:sz w:val="22"/>
          <w:szCs w:val="22"/>
        </w:rPr>
        <w:t xml:space="preserve">Prestige is not one brief — it is 8+ simultaneous briefs across different project teams. The empanelment strategy must reflect that reality.</w:t>
      </w:r>
    </w:p>
    <w:p>
      <w:pPr>
        <w:pStyle w:val="ListParagraph"/>
        <w:numPr>
          <w:ilvl w:val="0"/>
          <w:numId w:val="2"/>
        </w:numPr>
        <w:spacing w:before="40" w:after="60"/>
      </w:pPr>
      <w:r>
        <w:rPr>
          <w:rFonts w:ascii="Arial" w:cs="Arial" w:eastAsia="Arial" w:hAnsi="Arial"/>
          <w:color w:val="1A1A1A"/>
          <w:sz w:val="22"/>
          <w:szCs w:val="22"/>
        </w:rPr>
        <w:t xml:space="preserve">Manishkumar Mistry (SVP, Design Development &amp; Planning) — PRIMARY contact. Controls vendor shortlists across ALL Prestige residential launches. Getting empanelled through Mistry means your name is in the pool for every new Prestige project, not just one.</w:t>
      </w:r>
    </w:p>
    <w:p>
      <w:pPr>
        <w:pStyle w:val="ListParagraph"/>
        <w:numPr>
          <w:ilvl w:val="0"/>
          <w:numId w:val="2"/>
        </w:numPr>
        <w:spacing w:before="40" w:after="60"/>
      </w:pPr>
      <w:r>
        <w:rPr>
          <w:rFonts w:ascii="Arial" w:cs="Arial" w:eastAsia="Arial" w:hAnsi="Arial"/>
          <w:color w:val="1A1A1A"/>
          <w:sz w:val="22"/>
          <w:szCs w:val="22"/>
        </w:rPr>
        <w:t xml:space="preserve">Project-Level Design Managers — Below Mistry. Do NOT approach them first. They cannot empanel new vendors — they can only use already-empanelled vendors. Going to a project manager before Mistry wastes weeks.</w:t>
      </w:r>
    </w:p>
    <w:p>
      <w:pPr>
        <w:pStyle w:val="ListParagraph"/>
        <w:numPr>
          <w:ilvl w:val="0"/>
          <w:numId w:val="2"/>
        </w:numPr>
        <w:spacing w:before="40" w:after="60"/>
      </w:pPr>
      <w:r>
        <w:rPr>
          <w:rFonts w:ascii="Arial" w:cs="Arial" w:eastAsia="Arial" w:hAnsi="Arial"/>
          <w:color w:val="1A1A1A"/>
          <w:sz w:val="22"/>
          <w:szCs w:val="22"/>
        </w:rPr>
        <w:t xml:space="preserve">Procurement Head — Manages empanelment paperwork and vendor code registration. Parallel track, not first contact. Keep communication simple — they are not designers.</w:t>
      </w:r>
    </w:p>
    <w:p>
      <w:pPr>
        <w:spacing w:before="0" w:after="160"/>
      </w:pPr>
    </w:p>
    <w:p>
      <w:pPr>
        <w:pStyle w:val="Heading2"/>
        <w:spacing w:before="280" w:after="120"/>
      </w:pPr>
      <w:r>
        <w:rPr>
          <w:rFonts w:ascii="Arial" w:cs="Arial" w:eastAsia="Arial" w:hAnsi="Arial"/>
          <w:b/>
          <w:bCs/>
          <w:color w:val="1A1A2E"/>
          <w:sz w:val="26"/>
          <w:szCs w:val="26"/>
        </w:rPr>
        <w:t xml:space="preserve">5.3  Prestige Brief Priority Stack</w:t>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800"/>
        <w:gridCol w:w="592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Priority Project</w:t>
            </w:r>
          </w:p>
        </w:tc>
        <w:tc>
          <w:tcPr>
            <w:tcW w:type="dxa" w:w="59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Rationale</w:t>
            </w:r>
          </w:p>
        </w:tc>
      </w:tr>
      <w:tr>
        <w:trPr>
          <w:tblHeader w:val="false"/>
        </w:trP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1st — Prestige Southern Star</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Largest active project: 4,300 units, 34 acres, Begur Road. Multiple show flat briefs = program opportunity worth ₹80–200L total. Brief is live.</w:t>
            </w:r>
          </w:p>
        </w:tc>
      </w:tr>
      <w:tr>
        <w:trPr>
          <w:tblHeader w:val="false"/>
        </w:trP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2nd — Prestige Park Grove</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RERA filed late 2025. Brief window just opened. Least competition in the queue right now.</w:t>
            </w:r>
          </w:p>
        </w:tc>
      </w:tr>
      <w:tr>
        <w:trPr>
          <w:tblHeader w:val="false"/>
        </w:trP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3rd — Prestige Falcon City Luxe</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Launched 2026. 33 acres, 2,150 units, Kanakapura Road. Brief window narrowing but still open.</w:t>
            </w:r>
          </w:p>
        </w:tc>
      </w:tr>
      <w:tr>
        <w:trPr>
          <w:tblHeader w:val="false"/>
        </w:trP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4th — Prestige Park Ridge</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Imminent launch, early 2026. Bannerghatta Road. Time-sensitive.</w:t>
            </w:r>
          </w:p>
        </w:tc>
      </w:tr>
      <w:tr>
        <w:trPr>
          <w:tblHeader w:val="false"/>
        </w:trP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After winning one</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Once one Prestige project is on beMore's credentials sheet, every subsequent builder conversation changes completely.</w:t>
            </w:r>
          </w:p>
        </w:tc>
      </w:tr>
    </w:tbl>
    <w:p>
      <w:pPr>
        <w:spacing w:before="0" w:after="320"/>
      </w:pPr>
    </w:p>
    <w:tbl>
      <w:tblPr>
        <w:tblW w:type="dxa" w:w="8720"/>
        <w:tblBorders>
          <w:top w:val="single" w:color="1A1A2E" w:sz="1"/>
          <w:left w:val="single" w:color="1A1A2E" w:sz="1"/>
          <w:bottom w:val="single" w:color="1A1A2E" w:sz="1"/>
          <w:right w:val="single" w:color="1A1A2E" w:sz="1"/>
          <w:insideH w:val="single" w:color="auto" w:sz="4"/>
          <w:insideV w:val="single" w:color="auto" w:sz="4"/>
        </w:tblBorders>
      </w:tblPr>
      <w:tblGrid>
        <w:gridCol w:w="8720"/>
      </w:tblGrid>
      <w:tr>
        <w:tc>
          <w:tcPr>
            <w:tcW w:type="dxa" w:w="8720"/>
            <w:tcBorders>
              <w:top w:val="single" w:color="1A1A2E" w:sz="1"/>
              <w:left w:val="single" w:color="1A1A2E" w:sz="1"/>
              <w:bottom w:val="single" w:color="1A1A2E" w:sz="1"/>
              <w:right w:val="single" w:color="1A1A2E" w:sz="1"/>
            </w:tcBorders>
            <w:shd w:fill="F5F5F5" w:val="clear"/>
            <w:tcMar>
              <w:top w:type="dxa" w:w="120"/>
              <w:left w:type="dxa" w:w="200"/>
              <w:bottom w:type="dxa" w:w="120"/>
              <w:right w:type="dxa" w:w="200"/>
            </w:tcMar>
          </w:tcPr>
          <w:p>
            <w:pPr>
              <w:spacing w:before="0" w:after="60"/>
            </w:pPr>
            <w:r>
              <w:rPr>
                <w:rFonts w:ascii="Arial" w:cs="Arial" w:eastAsia="Arial" w:hAnsi="Arial"/>
                <w:b/>
                <w:bCs/>
                <w:color w:val="1A1A2E"/>
                <w:sz w:val="20"/>
                <w:szCs w:val="20"/>
              </w:rPr>
              <w:t xml:space="preserve">Why Southern Star First</w:t>
            </w:r>
          </w:p>
          <w:p>
            <w:pPr>
              <w:spacing w:before="0" w:after="0"/>
            </w:pPr>
            <w:r>
              <w:rPr>
                <w:rFonts w:ascii="Arial" w:cs="Arial" w:eastAsia="Arial" w:hAnsi="Arial"/>
                <w:color w:val="1A1A1A"/>
                <w:sz w:val="22"/>
                <w:szCs w:val="22"/>
              </w:rPr>
              <w:t xml:space="preserve">If beMore pitches Southern Star as a multi-unit show flat program — 2BHK + 3BHK + 4BHK as a coordinated brief — it immediately positions the studio as a strategic partner rather than a single-brief vendor. That is a completely different conversation, and a completely different fee structure.</w:t>
            </w:r>
          </w:p>
        </w:tc>
      </w:tr>
    </w:tbl>
    <w:p>
      <w:pPr>
        <w:spacing w:before="0" w:after="320"/>
      </w:pPr>
    </w:p>
    <w:p>
      <w:pPr>
        <w:pStyle w:val="Heading2"/>
        <w:spacing w:before="280" w:after="120"/>
      </w:pPr>
      <w:r>
        <w:rPr>
          <w:rFonts w:ascii="Arial" w:cs="Arial" w:eastAsia="Arial" w:hAnsi="Arial"/>
          <w:b/>
          <w:bCs/>
          <w:color w:val="1A1A2E"/>
          <w:sz w:val="26"/>
          <w:szCs w:val="26"/>
        </w:rPr>
        <w:t xml:space="preserve">5.4  What Not To Do at Prestige</w:t>
      </w:r>
    </w:p>
    <w:p>
      <w:pPr>
        <w:pStyle w:val="ListParagraph"/>
        <w:numPr>
          <w:ilvl w:val="0"/>
          <w:numId w:val="2"/>
        </w:numPr>
        <w:spacing w:before="40" w:after="60"/>
      </w:pPr>
      <w:r>
        <w:rPr>
          <w:rFonts w:ascii="Arial" w:cs="Arial" w:eastAsia="Arial" w:hAnsi="Arial"/>
          <w:color w:val="1A1A1A"/>
          <w:sz w:val="22"/>
          <w:szCs w:val="22"/>
        </w:rPr>
        <w:t xml:space="preserve">Do not cold-email the general Prestige contact address. It goes nowhere.</w:t>
      </w:r>
    </w:p>
    <w:p>
      <w:pPr>
        <w:pStyle w:val="ListParagraph"/>
        <w:numPr>
          <w:ilvl w:val="0"/>
          <w:numId w:val="2"/>
        </w:numPr>
        <w:spacing w:before="40" w:after="60"/>
      </w:pPr>
      <w:r>
        <w:rPr>
          <w:rFonts w:ascii="Arial" w:cs="Arial" w:eastAsia="Arial" w:hAnsi="Arial"/>
          <w:color w:val="1A1A1A"/>
          <w:sz w:val="22"/>
          <w:szCs w:val="22"/>
        </w:rPr>
        <w:t xml:space="preserve">Do not approach project-level site managers or sales teams. They cannot empanel you.</w:t>
      </w:r>
    </w:p>
    <w:p>
      <w:pPr>
        <w:pStyle w:val="ListParagraph"/>
        <w:numPr>
          <w:ilvl w:val="0"/>
          <w:numId w:val="2"/>
        </w:numPr>
        <w:spacing w:before="40" w:after="60"/>
      </w:pPr>
      <w:r>
        <w:rPr>
          <w:rFonts w:ascii="Arial" w:cs="Arial" w:eastAsia="Arial" w:hAnsi="Arial"/>
          <w:color w:val="1A1A1A"/>
          <w:sz w:val="22"/>
          <w:szCs w:val="22"/>
        </w:rPr>
        <w:t xml:space="preserve">Do not mention residential interiors or turnkey fit-outs. MDC does that and Prestige will perceive you as a competitor to their subsidiary.</w:t>
      </w:r>
    </w:p>
    <w:p>
      <w:pPr>
        <w:pStyle w:val="ListParagraph"/>
        <w:numPr>
          <w:ilvl w:val="0"/>
          <w:numId w:val="2"/>
        </w:numPr>
        <w:spacing w:before="40" w:after="60"/>
      </w:pPr>
      <w:r>
        <w:rPr>
          <w:rFonts w:ascii="Arial" w:cs="Arial" w:eastAsia="Arial" w:hAnsi="Arial"/>
          <w:color w:val="1A1A1A"/>
          <w:sz w:val="22"/>
          <w:szCs w:val="22"/>
        </w:rPr>
        <w:t xml:space="preserve">Do not send a proposal with pricing in the first conversation. It signals desperation.</w:t>
      </w:r>
    </w:p>
    <w:p>
      <w:pPr>
        <w:pStyle w:val="ListParagraph"/>
        <w:numPr>
          <w:ilvl w:val="0"/>
          <w:numId w:val="2"/>
        </w:numPr>
        <w:spacing w:before="40" w:after="60"/>
      </w:pPr>
      <w:r>
        <w:rPr>
          <w:rFonts w:ascii="Arial" w:cs="Arial" w:eastAsia="Arial" w:hAnsi="Arial"/>
          <w:color w:val="1A1A1A"/>
          <w:sz w:val="22"/>
          <w:szCs w:val="22"/>
        </w:rPr>
        <w:t xml:space="preserve">Do not follow up more than once in 10 days. Mistry manages 57+ ongoing projects. One follow-up, then let it breathe.</w:t>
      </w:r>
    </w:p>
    <w:p>
      <w:pPr>
        <w:spacing w:before="0" w:after="160"/>
      </w:pPr>
    </w:p>
    <w:p>
      <w:pPr>
        <w:spacing w:before="60" w:after="100"/>
        <w:jc w:val="left"/>
      </w:pPr>
      <w:r>
        <w:rPr>
          <w:rFonts w:ascii="Arial" w:cs="Arial" w:eastAsia="Arial" w:hAnsi="Arial"/>
          <w:color w:val="555555"/>
          <w:sz w:val="22"/>
          <w:szCs w:val="22"/>
        </w:rPr>
        <w:t xml:space="preserve">Realistic timeline: LinkedIn connection (Week 1–2) → First message and portfolio (Week 2–3) → Initial meeting (Week 3–5) → Empanelment paperwork (Week 5–8) → First brief invitation (Month 2–3) → Brief awarded (Month 3–4).</w:t>
      </w:r>
    </w:p>
    <w:p>
      <w:pPr>
        <w:spacing w:before="0" w:after="480"/>
      </w:pPr>
    </w:p>
    <w:p>
      <w:r>
        <w:br w:type="page"/>
      </w:r>
    </w:p>
    <w:p>
      <w:pPr>
        <w:pStyle w:val="Heading1"/>
        <w:pBdr>
          <w:bottom w:val="single" w:color="1A1A2E" w:sz="6" w:space="4"/>
        </w:pBdr>
        <w:spacing w:before="360" w:after="160"/>
      </w:pPr>
      <w:r>
        <w:rPr>
          <w:rFonts w:ascii="Arial" w:cs="Arial" w:eastAsia="Arial" w:hAnsi="Arial"/>
          <w:b/>
          <w:bCs/>
          <w:color w:val="1A1A2E"/>
          <w:sz w:val="32"/>
          <w:szCs w:val="32"/>
        </w:rPr>
        <w:t xml:space="preserve">6. How This Plays Out — A Real Scenario</w:t>
      </w:r>
    </w:p>
    <w:p>
      <w:pPr>
        <w:pStyle w:val="Heading2"/>
        <w:spacing w:before="280" w:after="120"/>
      </w:pPr>
      <w:r>
        <w:rPr>
          <w:rFonts w:ascii="Arial" w:cs="Arial" w:eastAsia="Arial" w:hAnsi="Arial"/>
          <w:b/>
          <w:bCs/>
          <w:color w:val="1A1A2E"/>
          <w:sz w:val="26"/>
          <w:szCs w:val="26"/>
        </w:rPr>
        <w:t xml:space="preserve">The Birla Evara Scenario</w:t>
      </w:r>
    </w:p>
    <w:p>
      <w:pPr>
        <w:spacing w:before="60" w:after="100"/>
        <w:jc w:val="left"/>
      </w:pPr>
      <w:r>
        <w:rPr>
          <w:rFonts w:ascii="Arial" w:cs="Arial" w:eastAsia="Arial" w:hAnsi="Arial"/>
          <w:color w:val="1A1A1A"/>
          <w:sz w:val="22"/>
          <w:szCs w:val="22"/>
        </w:rPr>
        <w:t xml:space="preserve">Birla Estates is launching Birla Evara on Sarjapur Road. 1,600 apartments. Launch event planned. They need buyers to walk in, fall in love, and book on the spot.</w:t>
      </w:r>
    </w:p>
    <w:p>
      <w:pPr>
        <w:spacing w:before="0" w:after="160"/>
      </w:pP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8720"/>
      </w:tblGrid>
      <w:tr>
        <w:tc>
          <w:tcPr>
            <w:tcW w:type="dxa" w:w="8720"/>
            <w:tcBorders>
              <w:top w:val="single" w:color="1D6F42" w:sz="1"/>
              <w:left w:val="single" w:color="1D6F42" w:sz="1"/>
              <w:bottom w:val="single" w:color="1D6F42" w:sz="1"/>
              <w:right w:val="single" w:color="1D6F42" w:sz="1"/>
            </w:tcBorders>
            <w:shd w:fill="F1F8F4" w:val="clear"/>
            <w:tcMar>
              <w:top w:type="dxa" w:w="160"/>
              <w:left w:type="dxa" w:w="200"/>
              <w:bottom w:type="dxa" w:w="160"/>
              <w:right w:type="dxa" w:w="200"/>
            </w:tcMar>
          </w:tcPr>
          <w:p>
            <w:pPr>
              <w:spacing w:before="60" w:after="100"/>
              <w:jc w:val="left"/>
            </w:pPr>
            <w:r>
              <w:rPr>
                <w:rFonts w:ascii="Arial" w:cs="Arial" w:eastAsia="Arial" w:hAnsi="Arial"/>
                <w:color w:val="1A1A1A"/>
                <w:sz w:val="22"/>
                <w:szCs w:val="22"/>
              </w:rPr>
              <w:t xml:space="preserve">Six weeks before launch, Rakesh Kumar — Head of Design at Birla Estates — gets a brief from the MD: 'We need 2 model units ready. One 3BHK, one 4BHK. Contemporary luxury feel. Budget ₹40 lakhs total. Deadline is 6 weeks.'</w:t>
            </w:r>
          </w:p>
          <w:p>
            <w:pPr>
              <w:spacing w:before="60" w:after="100"/>
              <w:jc w:val="left"/>
            </w:pPr>
            <w:r>
              <w:rPr>
                <w:rFonts w:ascii="Arial" w:cs="Arial" w:eastAsia="Arial" w:hAnsi="Arial"/>
                <w:color w:val="1A1A1A"/>
                <w:sz w:val="22"/>
                <w:szCs w:val="22"/>
              </w:rPr>
              <w:t xml:space="preserve">Rakesh calls 3 interior designers he knows. If he doesn't know anyone, he searches LinkedIn, asks his architect, or looks at who did the show flats for a nearby project he admired.</w:t>
            </w:r>
          </w:p>
          <w:p>
            <w:pPr>
              <w:spacing w:before="60" w:after="100"/>
              <w:jc w:val="left"/>
            </w:pPr>
            <w:r>
              <w:rPr>
                <w:rFonts w:ascii="Arial" w:cs="Arial" w:eastAsia="Arial" w:hAnsi="Arial"/>
                <w:color w:val="1A1A1A"/>
                <w:sz w:val="22"/>
                <w:szCs w:val="22"/>
              </w:rPr>
              <w:t xml:space="preserve">beMore gets that call because — through the AI scout agent — they already knew Birla Evara was launching in Q3. They had already connected with Rakesh on LinkedIn 3 weeks earlier. They had already sent him a 4-line message referencing the Sarjapur project and the Birla brand's modern-luxury positioning. He remembered the name.</w:t>
            </w:r>
          </w:p>
          <w:p>
            <w:pPr>
              <w:spacing w:before="60" w:after="100"/>
              <w:jc w:val="left"/>
            </w:pPr>
            <w:r>
              <w:rPr>
                <w:rFonts w:ascii="Arial" w:cs="Arial" w:eastAsia="Arial" w:hAnsi="Arial"/>
                <w:color w:val="1A1A1A"/>
                <w:sz w:val="22"/>
                <w:szCs w:val="22"/>
              </w:rPr>
              <w:t xml:space="preserve">beMore comes in, presents a mood board in 48 hours, wins the brief, executes in 5 weeks, and delivers a stunning 3BHK show flat.</w:t>
            </w:r>
          </w:p>
          <w:p>
            <w:pPr>
              <w:spacing w:before="60" w:after="100"/>
              <w:jc w:val="left"/>
            </w:pPr>
            <w:r>
              <w:rPr>
                <w:rFonts w:ascii="Arial" w:cs="Arial" w:eastAsia="Arial" w:hAnsi="Arial"/>
                <w:color w:val="1A1A1A"/>
                <w:sz w:val="22"/>
                <w:szCs w:val="22"/>
              </w:rPr>
              <w:t xml:space="preserve">On launch day, 200 buyers walk through that flat. 140 book apartments.</w:t>
            </w:r>
          </w:p>
          <w:p>
            <w:pPr>
              <w:spacing w:before="60" w:after="100"/>
              <w:jc w:val="left"/>
            </w:pPr>
            <w:r>
              <w:rPr>
                <w:rFonts w:ascii="Arial" w:cs="Arial" w:eastAsia="Arial" w:hAnsi="Arial"/>
                <w:color w:val="1A1A1A"/>
                <w:sz w:val="22"/>
                <w:szCs w:val="22"/>
              </w:rPr>
              <w:t xml:space="preserve">Rakesh looks like a hero to his MD. beMore gets paid ₹18 lakhs. And Rakesh now has beMore's number saved in his phone.</w:t>
            </w:r>
          </w:p>
        </w:tc>
      </w:tr>
    </w:tbl>
    <w:p>
      <w:pPr>
        <w:spacing w:before="0" w:after="320"/>
      </w:pPr>
    </w:p>
    <w:p>
      <w:pPr>
        <w:spacing w:before="60" w:after="100"/>
        <w:jc w:val="left"/>
      </w:pPr>
      <w:r>
        <w:rPr>
          <w:rFonts w:ascii="Arial" w:cs="Arial" w:eastAsia="Arial" w:hAnsi="Arial"/>
          <w:color w:val="1A1A1A"/>
          <w:sz w:val="22"/>
          <w:szCs w:val="22"/>
        </w:rPr>
        <w:t xml:space="preserve">This scenario plays out repeatedly — with Sumadhura Sarang, with Abhee Nakshatra, with Godrej Woodscape. The common thread is always the same: be visible before the brief goes out, respond faster than anyone else, and make it easy for the builder to say yes by reducing their risk.</w:t>
      </w:r>
    </w:p>
    <w:p>
      <w:pPr>
        <w:spacing w:before="0" w:after="480"/>
      </w:pPr>
    </w:p>
    <w:p>
      <w:r>
        <w:br w:type="page"/>
      </w:r>
    </w:p>
    <w:p>
      <w:pPr>
        <w:pStyle w:val="Heading1"/>
        <w:pBdr>
          <w:bottom w:val="single" w:color="1A1A2E" w:sz="6" w:space="4"/>
        </w:pBdr>
        <w:spacing w:before="360" w:after="160"/>
      </w:pPr>
      <w:r>
        <w:rPr>
          <w:rFonts w:ascii="Arial" w:cs="Arial" w:eastAsia="Arial" w:hAnsi="Arial"/>
          <w:b/>
          <w:bCs/>
          <w:color w:val="1A1A2E"/>
          <w:sz w:val="32"/>
          <w:szCs w:val="32"/>
        </w:rPr>
        <w:t xml:space="preserve">7. Building The Team — BD Hire</w:t>
      </w:r>
    </w:p>
    <w:p>
      <w:pPr>
        <w:pStyle w:val="Heading2"/>
        <w:spacing w:before="280" w:after="120"/>
      </w:pPr>
      <w:r>
        <w:rPr>
          <w:rFonts w:ascii="Arial" w:cs="Arial" w:eastAsia="Arial" w:hAnsi="Arial"/>
          <w:b/>
          <w:bCs/>
          <w:color w:val="1A1A2E"/>
          <w:sz w:val="26"/>
          <w:szCs w:val="26"/>
        </w:rPr>
        <w:t xml:space="preserve">7.1  The Profile: Not A Designer, Not A Generalist</w:t>
      </w:r>
    </w:p>
    <w:tbl>
      <w:tblPr>
        <w:tblW w:type="dxa" w:w="8720"/>
        <w:tblBorders>
          <w:top w:val="single" w:color="1A1A2E" w:sz="1"/>
          <w:left w:val="single" w:color="1A1A2E" w:sz="1"/>
          <w:bottom w:val="single" w:color="1A1A2E" w:sz="1"/>
          <w:right w:val="single" w:color="1A1A2E" w:sz="1"/>
          <w:insideH w:val="single" w:color="auto" w:sz="4"/>
          <w:insideV w:val="single" w:color="auto" w:sz="4"/>
        </w:tblBorders>
      </w:tblPr>
      <w:tblGrid>
        <w:gridCol w:w="8720"/>
      </w:tblGrid>
      <w:tr>
        <w:tc>
          <w:tcPr>
            <w:tcW w:type="dxa" w:w="8720"/>
            <w:tcBorders>
              <w:top w:val="single" w:color="1A1A2E" w:sz="1"/>
              <w:left w:val="single" w:color="1A1A2E" w:sz="1"/>
              <w:bottom w:val="single" w:color="1A1A2E" w:sz="1"/>
              <w:right w:val="single" w:color="1A1A2E" w:sz="1"/>
            </w:tcBorders>
            <w:shd w:fill="F5F5F5" w:val="clear"/>
            <w:tcMar>
              <w:top w:type="dxa" w:w="120"/>
              <w:left w:type="dxa" w:w="200"/>
              <w:bottom w:type="dxa" w:w="120"/>
              <w:right w:type="dxa" w:w="200"/>
            </w:tcMar>
          </w:tcPr>
          <w:p>
            <w:pPr>
              <w:spacing w:before="0" w:after="60"/>
            </w:pPr>
            <w:r>
              <w:rPr>
                <w:rFonts w:ascii="Arial" w:cs="Arial" w:eastAsia="Arial" w:hAnsi="Arial"/>
                <w:b/>
                <w:bCs/>
                <w:color w:val="1A1A2E"/>
                <w:sz w:val="20"/>
                <w:szCs w:val="20"/>
              </w:rPr>
              <w:t xml:space="preserve">The Most Important Thing To Get Right</w:t>
            </w:r>
          </w:p>
          <w:p>
            <w:pPr>
              <w:spacing w:before="0" w:after="0"/>
            </w:pPr>
            <w:r>
              <w:rPr>
                <w:rFonts w:ascii="Arial" w:cs="Arial" w:eastAsia="Arial" w:hAnsi="Arial"/>
                <w:color w:val="1A1A1A"/>
                <w:sz w:val="22"/>
                <w:szCs w:val="22"/>
              </w:rPr>
              <w:t xml:space="preserve">The right BD hire is a salesperson who appreciates design — not a designer who tolerates sales. Designers are trained to create, not to cold-call procurement heads. The BD hire needs to have sat across from a builder's purchasing team before and not been intimidated. That experience is worth more than any degree or design credential.</w:t>
            </w:r>
          </w:p>
        </w:tc>
      </w:tr>
    </w:tbl>
    <w:p>
      <w:pPr>
        <w:spacing w:before="0" w:after="320"/>
      </w:pPr>
    </w:p>
    <w:p>
      <w:pPr>
        <w:pStyle w:val="Heading2"/>
        <w:spacing w:before="280" w:after="120"/>
      </w:pPr>
      <w:r>
        <w:rPr>
          <w:rFonts w:ascii="Arial" w:cs="Arial" w:eastAsia="Arial" w:hAnsi="Arial"/>
          <w:b/>
          <w:bCs/>
          <w:color w:val="1A1A2E"/>
          <w:sz w:val="26"/>
          <w:szCs w:val="26"/>
        </w:rPr>
        <w:t xml:space="preserve">7.2  Non-Negotiable Requirements</w:t>
      </w:r>
    </w:p>
    <w:p>
      <w:pPr>
        <w:pStyle w:val="ListParagraph"/>
        <w:numPr>
          <w:ilvl w:val="0"/>
          <w:numId w:val="2"/>
        </w:numPr>
        <w:spacing w:before="40" w:after="60"/>
      </w:pPr>
      <w:r>
        <w:rPr>
          <w:rFonts w:ascii="Arial" w:cs="Arial" w:eastAsia="Arial" w:hAnsi="Arial"/>
          <w:color w:val="1A1A1A"/>
          <w:sz w:val="22"/>
          <w:szCs w:val="22"/>
        </w:rPr>
        <w:t xml:space="preserve">3–6 years in B2B sales or business development — real estate, interior design, architecture, or construction materials preferred. Not residential homeowner sales.</w:t>
      </w:r>
    </w:p>
    <w:p>
      <w:pPr>
        <w:pStyle w:val="ListParagraph"/>
        <w:numPr>
          <w:ilvl w:val="0"/>
          <w:numId w:val="2"/>
        </w:numPr>
        <w:spacing w:before="40" w:after="60"/>
      </w:pPr>
      <w:r>
        <w:rPr>
          <w:rFonts w:ascii="Arial" w:cs="Arial" w:eastAsia="Arial" w:hAnsi="Arial"/>
          <w:color w:val="1A1A1A"/>
          <w:sz w:val="22"/>
          <w:szCs w:val="22"/>
        </w:rPr>
        <w:t xml:space="preserve">Has actually met and pitched to builders or their procurement teams before.</w:t>
      </w:r>
    </w:p>
    <w:p>
      <w:pPr>
        <w:pStyle w:val="ListParagraph"/>
        <w:numPr>
          <w:ilvl w:val="0"/>
          <w:numId w:val="2"/>
        </w:numPr>
        <w:spacing w:before="40" w:after="60"/>
      </w:pPr>
      <w:r>
        <w:rPr>
          <w:rFonts w:ascii="Arial" w:cs="Arial" w:eastAsia="Arial" w:hAnsi="Arial"/>
          <w:color w:val="1A1A1A"/>
          <w:sz w:val="22"/>
          <w:szCs w:val="22"/>
        </w:rPr>
        <w:t xml:space="preserve">Comfortable with LinkedIn outreach, cold emailing, and cold calling — this role is 70% outbound in year one.</w:t>
      </w:r>
    </w:p>
    <w:p>
      <w:pPr>
        <w:pStyle w:val="ListParagraph"/>
        <w:numPr>
          <w:ilvl w:val="0"/>
          <w:numId w:val="2"/>
        </w:numPr>
        <w:spacing w:before="40" w:after="60"/>
      </w:pPr>
      <w:r>
        <w:rPr>
          <w:rFonts w:ascii="Arial" w:cs="Arial" w:eastAsia="Arial" w:hAnsi="Arial"/>
          <w:color w:val="1A1A1A"/>
          <w:sz w:val="22"/>
          <w:szCs w:val="22"/>
        </w:rPr>
        <w:t xml:space="preserve">Can present a portfolio and talk aesthetics without being a designer.</w:t>
      </w:r>
    </w:p>
    <w:p>
      <w:pPr>
        <w:pStyle w:val="ListParagraph"/>
        <w:numPr>
          <w:ilvl w:val="0"/>
          <w:numId w:val="2"/>
        </w:numPr>
        <w:spacing w:before="40" w:after="60"/>
      </w:pPr>
      <w:r>
        <w:rPr>
          <w:rFonts w:ascii="Arial" w:cs="Arial" w:eastAsia="Arial" w:hAnsi="Arial"/>
          <w:color w:val="1A1A1A"/>
          <w:sz w:val="22"/>
          <w:szCs w:val="22"/>
        </w:rPr>
        <w:t xml:space="preserve">Based in Bangalore — must attend builder events, site visits, and CREDAI meetings in person.</w:t>
      </w:r>
    </w:p>
    <w:p>
      <w:pPr>
        <w:pStyle w:val="ListParagraph"/>
        <w:numPr>
          <w:ilvl w:val="0"/>
          <w:numId w:val="2"/>
        </w:numPr>
        <w:spacing w:before="40" w:after="60"/>
      </w:pPr>
      <w:r>
        <w:rPr>
          <w:rFonts w:ascii="Arial" w:cs="Arial" w:eastAsia="Arial" w:hAnsi="Arial"/>
          <w:color w:val="1A1A1A"/>
          <w:sz w:val="22"/>
          <w:szCs w:val="22"/>
        </w:rPr>
        <w:t xml:space="preserve">Active LinkedIn presence with 500+ connections in Bangalore real estate.</w:t>
      </w:r>
    </w:p>
    <w:p>
      <w:pPr>
        <w:spacing w:before="0" w:after="240"/>
      </w:pPr>
    </w:p>
    <w:p>
      <w:pPr>
        <w:pStyle w:val="Heading2"/>
        <w:spacing w:before="280" w:after="120"/>
      </w:pPr>
      <w:r>
        <w:rPr>
          <w:rFonts w:ascii="Arial" w:cs="Arial" w:eastAsia="Arial" w:hAnsi="Arial"/>
          <w:b/>
          <w:bCs/>
          <w:color w:val="1A1A2E"/>
          <w:sz w:val="26"/>
          <w:szCs w:val="26"/>
        </w:rPr>
        <w:t xml:space="preserve">7.3  Three Hiring Tiers</w:t>
      </w:r>
    </w:p>
    <w:p>
      <w:pPr>
        <w:spacing w:before="0" w:after="160"/>
      </w:pP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906"/>
        <w:gridCol w:w="2906"/>
        <w:gridCol w:w="2906"/>
      </w:tblGrid>
      <w:tr>
        <w:trPr>
          <w:tblHeader/>
        </w:trPr>
        <w:tc>
          <w:tcPr>
            <w:tcW w:type="dxa" w:w="2906"/>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Junior / Hungry
0–3 Years Experience</w:t>
            </w:r>
          </w:p>
        </w:tc>
        <w:tc>
          <w:tcPr>
            <w:tcW w:type="dxa" w:w="2906"/>
            <w:tcBorders>
              <w:top w:val="single" w:color="1A1A2E" w:sz="1"/>
              <w:left w:val="single" w:color="1A1A2E" w:sz="1"/>
              <w:bottom w:val="single" w:color="1A1A2E" w:sz="1"/>
              <w:right w:val="single" w:color="1A1A2E" w:sz="1"/>
            </w:tcBorders>
            <w:shd w:fill="1D6F42"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Recommended Hire ✓
3–6 Years Experience</w:t>
            </w:r>
          </w:p>
        </w:tc>
        <w:tc>
          <w:tcPr>
            <w:tcW w:type="dxa" w:w="2906"/>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Senior / Brings Network
6–10 Years Experience</w:t>
            </w:r>
          </w:p>
        </w:tc>
      </w:tr>
      <w:tr>
        <w:tc>
          <w:tcPr>
            <w:tcW w:type="dxa" w:w="290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pPr>
            <w:r>
              <w:rPr>
                <w:rFonts w:ascii="Arial" w:cs="Arial" w:eastAsia="Arial" w:hAnsi="Arial"/>
                <w:b/>
                <w:bCs/>
                <w:color w:val="1A1A2E"/>
                <w:sz w:val="20"/>
                <w:szCs w:val="20"/>
              </w:rPr>
              <w:t xml:space="preserve">₹4–6L CTC/annum</w:t>
            </w:r>
          </w:p>
          <w:p>
            <w:pPr>
              <w:spacing w:before="40" w:after="0"/>
            </w:pPr>
            <w:r>
              <w:rPr>
                <w:rFonts w:ascii="Arial" w:cs="Arial" w:eastAsia="Arial" w:hAnsi="Arial"/>
                <w:b w:val="false"/>
                <w:bCs w:val="false"/>
                <w:color w:val="1A1A1A"/>
                <w:sz w:val="20"/>
                <w:szCs w:val="20"/>
              </w:rPr>
              <w:t xml:space="preserve"/>
            </w:r>
          </w:p>
          <w:p>
            <w:pPr>
              <w:spacing w:before="40" w:after="0"/>
            </w:pPr>
            <w:r>
              <w:rPr>
                <w:rFonts w:ascii="Arial" w:cs="Arial" w:eastAsia="Arial" w:hAnsi="Arial"/>
                <w:b w:val="false"/>
                <w:bCs w:val="false"/>
                <w:color w:val="1A1A1A"/>
                <w:sz w:val="20"/>
                <w:szCs w:val="20"/>
              </w:rPr>
              <w:t xml:space="preserve">Fixed: ₹35–45K/month</w:t>
            </w:r>
          </w:p>
          <w:p>
            <w:pPr>
              <w:spacing w:before="40" w:after="0"/>
            </w:pPr>
            <w:r>
              <w:rPr>
                <w:rFonts w:ascii="Arial" w:cs="Arial" w:eastAsia="Arial" w:hAnsi="Arial"/>
                <w:b w:val="false"/>
                <w:bCs w:val="false"/>
                <w:color w:val="1A1A1A"/>
                <w:sz w:val="20"/>
                <w:szCs w:val="20"/>
              </w:rPr>
              <w:t xml:space="preserve">Variable: ₹5–8K/month target</w:t>
            </w:r>
          </w:p>
          <w:p>
            <w:pPr>
              <w:spacing w:before="40" w:after="0"/>
            </w:pPr>
            <w:r>
              <w:rPr>
                <w:rFonts w:ascii="Arial" w:cs="Arial" w:eastAsia="Arial" w:hAnsi="Arial"/>
                <w:b w:val="false"/>
                <w:bCs w:val="false"/>
                <w:color w:val="1A1A1A"/>
                <w:sz w:val="20"/>
                <w:szCs w:val="20"/>
              </w:rPr>
              <w:t xml:space="preserve"/>
            </w:r>
          </w:p>
          <w:p>
            <w:pPr>
              <w:spacing w:before="40" w:after="0"/>
            </w:pPr>
            <w:r>
              <w:rPr>
                <w:rFonts w:ascii="Arial" w:cs="Arial" w:eastAsia="Arial" w:hAnsi="Arial"/>
                <w:b w:val="false"/>
                <w:bCs w:val="false"/>
                <w:color w:val="1A1A1A"/>
                <w:sz w:val="20"/>
                <w:szCs w:val="20"/>
              </w:rPr>
              <w:t xml:space="preserve">Ex-interior design sales, real estate channel partner, or builder sales experience.</w:t>
            </w:r>
          </w:p>
          <w:p>
            <w:pPr>
              <w:spacing w:before="40" w:after="0"/>
            </w:pPr>
            <w:r>
              <w:rPr>
                <w:rFonts w:ascii="Arial" w:cs="Arial" w:eastAsia="Arial" w:hAnsi="Arial"/>
                <w:b w:val="false"/>
                <w:bCs w:val="false"/>
                <w:color w:val="1A1A1A"/>
                <w:sz w:val="20"/>
                <w:szCs w:val="20"/>
              </w:rPr>
              <w:t xml:space="preserve"/>
            </w:r>
          </w:p>
          <w:p>
            <w:pPr>
              <w:spacing w:before="40" w:after="0"/>
            </w:pPr>
            <w:r>
              <w:rPr>
                <w:rFonts w:ascii="Arial" w:cs="Arial" w:eastAsia="Arial" w:hAnsi="Arial"/>
                <w:b w:val="false"/>
                <w:bCs w:val="false"/>
                <w:color w:val="1A1A1A"/>
                <w:sz w:val="20"/>
                <w:szCs w:val="20"/>
              </w:rPr>
              <w:t xml:space="preserve">Risk: Needs hand-holding. Won't navigate procurement independently.</w:t>
            </w:r>
          </w:p>
        </w:tc>
        <w:tc>
          <w:tcPr>
            <w:tcW w:type="dxa" w:w="2906"/>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before="0" w:after="0"/>
            </w:pPr>
            <w:r>
              <w:rPr>
                <w:rFonts w:ascii="Arial" w:cs="Arial" w:eastAsia="Arial" w:hAnsi="Arial"/>
                <w:b/>
                <w:bCs/>
                <w:color w:val="1D6F42"/>
                <w:sz w:val="20"/>
                <w:szCs w:val="20"/>
              </w:rPr>
              <w:t xml:space="preserve">₹8–12L CTC/annum</w:t>
            </w:r>
          </w:p>
          <w:p>
            <w:pPr>
              <w:spacing w:before="40" w:after="0"/>
            </w:pPr>
            <w:r>
              <w:rPr>
                <w:rFonts w:ascii="Arial" w:cs="Arial" w:eastAsia="Arial" w:hAnsi="Arial"/>
                <w:b w:val="false"/>
                <w:bCs w:val="false"/>
                <w:color w:val="1A1A1A"/>
                <w:sz w:val="20"/>
                <w:szCs w:val="20"/>
              </w:rPr>
              <w:t xml:space="preserve"/>
            </w:r>
          </w:p>
          <w:p>
            <w:pPr>
              <w:spacing w:before="40" w:after="0"/>
            </w:pPr>
            <w:r>
              <w:rPr>
                <w:rFonts w:ascii="Arial" w:cs="Arial" w:eastAsia="Arial" w:hAnsi="Arial"/>
                <w:b w:val="false"/>
                <w:bCs w:val="false"/>
                <w:color w:val="1A1A1A"/>
                <w:sz w:val="20"/>
                <w:szCs w:val="20"/>
              </w:rPr>
              <w:t xml:space="preserve">Fixed: ₹55–75K/month</w:t>
            </w:r>
          </w:p>
          <w:p>
            <w:pPr>
              <w:spacing w:before="40" w:after="0"/>
            </w:pPr>
            <w:r>
              <w:rPr>
                <w:rFonts w:ascii="Arial" w:cs="Arial" w:eastAsia="Arial" w:hAnsi="Arial"/>
                <w:b w:val="false"/>
                <w:bCs w:val="false"/>
                <w:color w:val="1A1A1A"/>
                <w:sz w:val="20"/>
                <w:szCs w:val="20"/>
              </w:rPr>
              <w:t xml:space="preserve">Variable: ₹15–25K/month target</w:t>
            </w:r>
          </w:p>
          <w:p>
            <w:pPr>
              <w:spacing w:before="40" w:after="0"/>
            </w:pPr>
            <w:r>
              <w:rPr>
                <w:rFonts w:ascii="Arial" w:cs="Arial" w:eastAsia="Arial" w:hAnsi="Arial"/>
                <w:b w:val="false"/>
                <w:bCs w:val="false"/>
                <w:color w:val="1A1A1A"/>
                <w:sz w:val="20"/>
                <w:szCs w:val="20"/>
              </w:rPr>
              <w:t xml:space="preserve"/>
            </w:r>
          </w:p>
          <w:p>
            <w:pPr>
              <w:spacing w:before="40" w:after="0"/>
            </w:pPr>
            <w:r>
              <w:rPr>
                <w:rFonts w:ascii="Arial" w:cs="Arial" w:eastAsia="Arial" w:hAnsi="Arial"/>
                <w:b w:val="false"/>
                <w:bCs w:val="false"/>
                <w:color w:val="1A1A1A"/>
                <w:sz w:val="20"/>
                <w:szCs w:val="20"/>
              </w:rPr>
              <w:t xml:space="preserve">Ex-builder procurement team, or BD at a competing design firm. Real estate B2B native.</w:t>
            </w:r>
          </w:p>
          <w:p>
            <w:pPr>
              <w:spacing w:before="40" w:after="0"/>
            </w:pPr>
            <w:r>
              <w:rPr>
                <w:rFonts w:ascii="Arial" w:cs="Arial" w:eastAsia="Arial" w:hAnsi="Arial"/>
                <w:b w:val="false"/>
                <w:bCs w:val="false"/>
                <w:color w:val="1A1A1A"/>
                <w:sz w:val="20"/>
                <w:szCs w:val="20"/>
              </w:rPr>
              <w:t xml:space="preserve"/>
            </w:r>
          </w:p>
          <w:p>
            <w:pPr>
              <w:spacing w:before="40" w:after="0"/>
            </w:pPr>
            <w:r>
              <w:rPr>
                <w:rFonts w:ascii="Arial" w:cs="Arial" w:eastAsia="Arial" w:hAnsi="Arial"/>
                <w:b w:val="false"/>
                <w:bCs w:val="false"/>
                <w:color w:val="1A1A1A"/>
                <w:sz w:val="20"/>
                <w:szCs w:val="20"/>
              </w:rPr>
              <w:t xml:space="preserve">Risk: Mid-level market. Competitive. Needs strong variable upside.</w:t>
            </w:r>
          </w:p>
        </w:tc>
        <w:tc>
          <w:tcPr>
            <w:tcW w:type="dxa" w:w="290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pPr>
            <w:r>
              <w:rPr>
                <w:rFonts w:ascii="Arial" w:cs="Arial" w:eastAsia="Arial" w:hAnsi="Arial"/>
                <w:b/>
                <w:bCs/>
                <w:color w:val="1A1A2E"/>
                <w:sz w:val="20"/>
                <w:szCs w:val="20"/>
              </w:rPr>
              <w:t xml:space="preserve">₹14–20L CTC/annum</w:t>
            </w:r>
          </w:p>
          <w:p>
            <w:pPr>
              <w:spacing w:before="40" w:after="0"/>
            </w:pPr>
            <w:r>
              <w:rPr>
                <w:rFonts w:ascii="Arial" w:cs="Arial" w:eastAsia="Arial" w:hAnsi="Arial"/>
                <w:b w:val="false"/>
                <w:bCs w:val="false"/>
                <w:color w:val="1A1A1A"/>
                <w:sz w:val="20"/>
                <w:szCs w:val="20"/>
              </w:rPr>
              <w:t xml:space="preserve"/>
            </w:r>
          </w:p>
          <w:p>
            <w:pPr>
              <w:spacing w:before="40" w:after="0"/>
            </w:pPr>
            <w:r>
              <w:rPr>
                <w:rFonts w:ascii="Arial" w:cs="Arial" w:eastAsia="Arial" w:hAnsi="Arial"/>
                <w:b w:val="false"/>
                <w:bCs w:val="false"/>
                <w:color w:val="1A1A1A"/>
                <w:sz w:val="20"/>
                <w:szCs w:val="20"/>
              </w:rPr>
              <w:t xml:space="preserve">Fixed: ₹90K–1.2L/month</w:t>
            </w:r>
          </w:p>
          <w:p>
            <w:pPr>
              <w:spacing w:before="40" w:after="0"/>
            </w:pPr>
            <w:r>
              <w:rPr>
                <w:rFonts w:ascii="Arial" w:cs="Arial" w:eastAsia="Arial" w:hAnsi="Arial"/>
                <w:b w:val="false"/>
                <w:bCs w:val="false"/>
                <w:color w:val="1A1A1A"/>
                <w:sz w:val="20"/>
                <w:szCs w:val="20"/>
              </w:rPr>
              <w:t xml:space="preserve">Variable: ₹30–50K/month target</w:t>
            </w:r>
          </w:p>
          <w:p>
            <w:pPr>
              <w:spacing w:before="40" w:after="0"/>
            </w:pPr>
            <w:r>
              <w:rPr>
                <w:rFonts w:ascii="Arial" w:cs="Arial" w:eastAsia="Arial" w:hAnsi="Arial"/>
                <w:b w:val="false"/>
                <w:bCs w:val="false"/>
                <w:color w:val="1A1A1A"/>
                <w:sz w:val="20"/>
                <w:szCs w:val="20"/>
              </w:rPr>
              <w:t xml:space="preserve"/>
            </w:r>
          </w:p>
          <w:p>
            <w:pPr>
              <w:spacing w:before="40" w:after="0"/>
            </w:pPr>
            <w:r>
              <w:rPr>
                <w:rFonts w:ascii="Arial" w:cs="Arial" w:eastAsia="Arial" w:hAnsi="Arial"/>
                <w:b w:val="false"/>
                <w:bCs w:val="false"/>
                <w:color w:val="1A1A1A"/>
                <w:sz w:val="20"/>
                <w:szCs w:val="20"/>
              </w:rPr>
              <w:t xml:space="preserve">Ideally ex-builder (Prestige, Brigade, Sobha) with existing relationships.</w:t>
            </w:r>
          </w:p>
          <w:p>
            <w:pPr>
              <w:spacing w:before="40" w:after="0"/>
            </w:pPr>
            <w:r>
              <w:rPr>
                <w:rFonts w:ascii="Arial" w:cs="Arial" w:eastAsia="Arial" w:hAnsi="Arial"/>
                <w:b w:val="false"/>
                <w:bCs w:val="false"/>
                <w:color w:val="1A1A1A"/>
                <w:sz w:val="20"/>
                <w:szCs w:val="20"/>
              </w:rPr>
              <w:t xml:space="preserve"/>
            </w:r>
          </w:p>
          <w:p>
            <w:pPr>
              <w:spacing w:before="40" w:after="0"/>
            </w:pPr>
            <w:r>
              <w:rPr>
                <w:rFonts w:ascii="Arial" w:cs="Arial" w:eastAsia="Arial" w:hAnsi="Arial"/>
                <w:b w:val="false"/>
                <w:bCs w:val="false"/>
                <w:color w:val="1A1A1A"/>
                <w:sz w:val="20"/>
                <w:szCs w:val="20"/>
              </w:rPr>
              <w:t xml:space="preserve">Risk: Expensive. Only worth it if they bring 3+ warm contacts from day one.</w:t>
            </w:r>
          </w:p>
        </w:tc>
      </w:tr>
    </w:tbl>
    <w:p>
      <w:pPr>
        <w:spacing w:before="0" w:after="320"/>
      </w:pPr>
    </w:p>
    <w:p>
      <w:pPr>
        <w:pStyle w:val="Heading2"/>
        <w:spacing w:before="280" w:after="120"/>
      </w:pPr>
      <w:r>
        <w:rPr>
          <w:rFonts w:ascii="Arial" w:cs="Arial" w:eastAsia="Arial" w:hAnsi="Arial"/>
          <w:b/>
          <w:bCs/>
          <w:color w:val="1A1A2E"/>
          <w:sz w:val="26"/>
          <w:szCs w:val="26"/>
        </w:rPr>
        <w:t xml:space="preserve">7.4  The Compensation Structure That Attracts The Right Person</w:t>
      </w:r>
    </w:p>
    <w:p>
      <w:pPr>
        <w:pStyle w:val="ListParagraph"/>
        <w:numPr>
          <w:ilvl w:val="0"/>
          <w:numId w:val="2"/>
        </w:numPr>
        <w:spacing w:before="40" w:after="60"/>
      </w:pPr>
      <w:r>
        <w:rPr>
          <w:rFonts w:ascii="Arial" w:cs="Arial" w:eastAsia="Arial" w:hAnsi="Arial"/>
          <w:color w:val="1A1A1A"/>
          <w:sz w:val="22"/>
          <w:szCs w:val="22"/>
        </w:rPr>
        <w:t xml:space="preserve">Activity bonus (₹5,000/month): 10+ qualified builder meetings per month — rewards behaviour, not just outcomes, in the first 90 days before any project closes.</w:t>
      </w:r>
    </w:p>
    <w:p>
      <w:pPr>
        <w:pStyle w:val="ListParagraph"/>
        <w:numPr>
          <w:ilvl w:val="0"/>
          <w:numId w:val="2"/>
        </w:numPr>
        <w:spacing w:before="40" w:after="60"/>
      </w:pPr>
      <w:r>
        <w:rPr>
          <w:rFonts w:ascii="Arial" w:cs="Arial" w:eastAsia="Arial" w:hAnsi="Arial"/>
          <w:color w:val="1A1A1A"/>
          <w:sz w:val="22"/>
          <w:szCs w:val="22"/>
        </w:rPr>
        <w:t xml:space="preserve">Empanelment bonus (₹10,000 per empanelment): Milestone reward for formal vendor registration at any builder.</w:t>
      </w:r>
    </w:p>
    <w:p>
      <w:pPr>
        <w:pStyle w:val="ListParagraph"/>
        <w:numPr>
          <w:ilvl w:val="0"/>
          <w:numId w:val="2"/>
        </w:numPr>
        <w:spacing w:before="40" w:after="60"/>
      </w:pPr>
      <w:r>
        <w:rPr>
          <w:rFonts w:ascii="Arial" w:cs="Arial" w:eastAsia="Arial" w:hAnsi="Arial"/>
          <w:color w:val="1A1A1A"/>
          <w:sz w:val="22"/>
          <w:szCs w:val="22"/>
        </w:rPr>
        <w:t xml:space="preserve">Project commission (2.5% of design fees on signed project, paid on deposit received): Main upside driver.</w:t>
      </w:r>
    </w:p>
    <w:p>
      <w:pPr>
        <w:pStyle w:val="ListParagraph"/>
        <w:numPr>
          <w:ilvl w:val="0"/>
          <w:numId w:val="2"/>
        </w:numPr>
        <w:spacing w:before="40" w:after="60"/>
      </w:pPr>
      <w:r>
        <w:rPr>
          <w:rFonts w:ascii="Arial" w:cs="Arial" w:eastAsia="Arial" w:hAnsi="Arial"/>
          <w:color w:val="1A1A1A"/>
          <w:sz w:val="22"/>
          <w:szCs w:val="22"/>
        </w:rPr>
        <w:t xml:space="preserve">Repeat project commission (1.5%, within 12 months from same builder): Rewards relationship-building over transactional BD.</w:t>
      </w:r>
    </w:p>
    <w:p>
      <w:pPr>
        <w:pStyle w:val="ListParagraph"/>
        <w:numPr>
          <w:ilvl w:val="0"/>
          <w:numId w:val="2"/>
        </w:numPr>
        <w:spacing w:before="40" w:after="60"/>
      </w:pPr>
      <w:r>
        <w:rPr>
          <w:rFonts w:ascii="Arial" w:cs="Arial" w:eastAsia="Arial" w:hAnsi="Arial"/>
          <w:color w:val="1A1A1A"/>
          <w:sz w:val="22"/>
          <w:szCs w:val="22"/>
        </w:rPr>
        <w:t xml:space="preserve">Milestone bonus (₹1,00,000 one-time if ₹1Cr+ revenue in 12 months): Sets the year-one target clearly.</w:t>
      </w:r>
    </w:p>
    <w:p>
      <w:pPr>
        <w:pStyle w:val="ListParagraph"/>
        <w:numPr>
          <w:ilvl w:val="0"/>
          <w:numId w:val="2"/>
        </w:numPr>
        <w:spacing w:before="40" w:after="60"/>
      </w:pPr>
      <w:r>
        <w:rPr>
          <w:rFonts w:ascii="Arial" w:cs="Arial" w:eastAsia="Arial" w:hAnsi="Arial"/>
          <w:color w:val="1A1A1A"/>
          <w:sz w:val="22"/>
          <w:szCs w:val="22"/>
        </w:rPr>
        <w:t xml:space="preserve">6-month clawback clause on commissions if client relationship is damaged.</w:t>
      </w:r>
    </w:p>
    <w:p>
      <w:pPr>
        <w:spacing w:before="0" w:after="160"/>
      </w:pPr>
    </w:p>
    <w:p>
      <w:pPr>
        <w:spacing w:before="60" w:after="100"/>
        <w:jc w:val="left"/>
      </w:pPr>
      <w:r>
        <w:rPr>
          <w:rFonts w:ascii="Arial" w:cs="Arial" w:eastAsia="Arial" w:hAnsi="Arial"/>
          <w:color w:val="555555"/>
          <w:sz w:val="22"/>
          <w:szCs w:val="22"/>
        </w:rPr>
        <w:t xml:space="preserve">Goal: a great performer earns ₹13–17L total. A mediocre one earns ₹8–9L and makes it obvious they need to go.</w:t>
      </w:r>
    </w:p>
    <w:p>
      <w:pPr>
        <w:spacing w:before="0" w:after="320"/>
      </w:pPr>
    </w:p>
    <w:p>
      <w:pPr>
        <w:pStyle w:val="Heading2"/>
        <w:spacing w:before="280" w:after="120"/>
      </w:pPr>
      <w:r>
        <w:rPr>
          <w:rFonts w:ascii="Arial" w:cs="Arial" w:eastAsia="Arial" w:hAnsi="Arial"/>
          <w:b/>
          <w:bCs/>
          <w:color w:val="1A1A2E"/>
          <w:sz w:val="26"/>
          <w:szCs w:val="26"/>
        </w:rPr>
        <w:t xml:space="preserve">7.5  The 5 Hiring Mistakes Small Studios Always Make</w:t>
      </w:r>
    </w:p>
    <w:p>
      <w:pPr>
        <w:spacing w:before="0" w:after="160"/>
      </w:pP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800"/>
        <w:gridCol w:w="592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Common Mistake</w:t>
            </w:r>
          </w:p>
        </w:tc>
        <w:tc>
          <w:tcPr>
            <w:tcW w:type="dxa" w:w="59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Why It Fails &amp; What To Do Instead</w:t>
            </w:r>
          </w:p>
        </w:tc>
      </w:tr>
      <w:tr>
        <w:trPr>
          <w:tblHeader w:val="false"/>
        </w:trP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Mistake 1: Hiring a designer to do BD</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Designers create; they do not cold-call procurement heads. Different skillsets entirely. The BD hire needs to be a salesperson who appreciates design, not a designer who tolerates sales.</w:t>
            </w:r>
          </w:p>
        </w:tc>
      </w:tr>
      <w:tr>
        <w:trPr>
          <w:tblHeader w:val="false"/>
        </w:trP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Mistake 2: All fixed, no variable</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₹10L all-fixed attracts people who want a comfortable job, not hunters. The best BD people take ₹7L fixed + uncapped commission over ₹10L fixed. Incentive structure signals what you want.</w:t>
            </w:r>
          </w:p>
        </w:tc>
      </w:tr>
      <w:tr>
        <w:trPr>
          <w:tblHeader w:val="false"/>
        </w:trP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Mistake 3: No 90-day target framework</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30 days: 20 builder contacts identified. 60 days: 5 qualified meetings. 90 days: 1 empanelment application submitted. Without this, the hire drifts and the founder doesn't know if it's working until too late.</w:t>
            </w:r>
          </w:p>
        </w:tc>
      </w:tr>
      <w:tr>
        <w:trPr>
          <w:tblHeader w:val="false"/>
        </w:trP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Mistake 4: No tools ready</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The BD hire needs a strong portfolio PDF, a 3-slide capability deck, and a mood board template ready within 48 hours of any inquiry. If these don't exist on day one, the hire cannot function.</w:t>
            </w:r>
          </w:p>
        </w:tc>
      </w:tr>
      <w:tr>
        <w:trPr>
          <w:tblHeader w:val="false"/>
        </w:trP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Mistake 5: Full-time before proof</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Consider 3-month retainer at ₹60–70K/month + commission first. Full-time offer if 2 empanelments in 90 days. This de-risks the hire for beMore while still motivating through commission.</w:t>
            </w:r>
          </w:p>
        </w:tc>
      </w:tr>
    </w:tbl>
    <w:p>
      <w:pPr>
        <w:spacing w:before="0" w:after="480"/>
      </w:pPr>
    </w:p>
    <w:p>
      <w:r>
        <w:br w:type="page"/>
      </w:r>
    </w:p>
    <w:p>
      <w:pPr>
        <w:pStyle w:val="Heading1"/>
        <w:pBdr>
          <w:bottom w:val="single" w:color="1A1A2E" w:sz="6" w:space="4"/>
        </w:pBdr>
        <w:spacing w:before="360" w:after="160"/>
      </w:pPr>
      <w:r>
        <w:rPr>
          <w:rFonts w:ascii="Arial" w:cs="Arial" w:eastAsia="Arial" w:hAnsi="Arial"/>
          <w:b/>
          <w:bCs/>
          <w:color w:val="1A1A2E"/>
          <w:sz w:val="32"/>
          <w:szCs w:val="32"/>
        </w:rPr>
        <w:t xml:space="preserve">8. The AI Agent Stack</w:t>
      </w:r>
    </w:p>
    <w:p>
      <w:pPr>
        <w:pStyle w:val="Heading2"/>
        <w:spacing w:before="280" w:after="120"/>
      </w:pPr>
      <w:r>
        <w:rPr>
          <w:rFonts w:ascii="Arial" w:cs="Arial" w:eastAsia="Arial" w:hAnsi="Arial"/>
          <w:b/>
          <w:bCs/>
          <w:color w:val="1A1A2E"/>
          <w:sz w:val="26"/>
          <w:szCs w:val="26"/>
        </w:rPr>
        <w:t xml:space="preserve">8.1  Why This Gives beMore A Systematic Edge</w:t>
      </w:r>
    </w:p>
    <w:p>
      <w:pPr>
        <w:spacing w:before="60" w:after="100"/>
        <w:jc w:val="left"/>
      </w:pPr>
      <w:r>
        <w:rPr>
          <w:rFonts w:ascii="Arial" w:cs="Arial" w:eastAsia="Arial" w:hAnsi="Arial"/>
          <w:color w:val="1A1A1A"/>
          <w:sz w:val="22"/>
          <w:szCs w:val="22"/>
        </w:rPr>
        <w:t xml:space="preserve">Competitors are still researching builder leads manually. A properly configured AI agent stack saves 10+ hours per week and gives beMore visibility into new RERA filings, decision-maker changes, and brief windows days before competitors learn about them. Total cost: under ₹8,000/month to set up.</w:t>
      </w:r>
    </w:p>
    <w:p>
      <w:pPr>
        <w:spacing w:before="0" w:after="240"/>
      </w:pP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420"/>
      </w:tblGrid>
      <w:tr>
        <w:trPr>
          <w:tblHeader/>
        </w:trPr>
        <w:tc>
          <w:tcPr>
            <w:tcW w:type="dxa" w:w="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Agent</w:t>
            </w:r>
          </w:p>
        </w:tc>
        <w:tc>
          <w:tcPr>
            <w:tcW w:type="dxa" w:w="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It Does</w:t>
            </w:r>
          </w:p>
        </w:tc>
        <w:tc>
          <w:tcPr>
            <w:tcW w:type="dxa" w:w="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Tool Stack</w:t>
            </w:r>
          </w:p>
        </w:tc>
        <w:tc>
          <w:tcPr>
            <w:tcW w:type="dxa" w:w="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Time Saved</w:t>
            </w:r>
          </w:p>
        </w:tc>
      </w:tr>
      <w:tr>
        <w:tc>
          <w:tcPr>
            <w:tcW w:type="dxa"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Scouting Agent</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Scrapes RERA Karnataka daily. Flags new project approvals in Whitefield, Sarjapur, North Bangalore. Delivers a hot-lead list each morning.</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Make.com + RERA Karnataka scraper</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8 hrs/week — no more manual RERA monitoring</w:t>
            </w:r>
          </w:p>
        </w:tc>
      </w:tr>
      <w:tr>
        <w:tc>
          <w:tcPr>
            <w:tcW w:type="dxa"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Decision-Maker Finder</w:t>
            </w:r>
          </w:p>
        </w:tc>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Cross-references LinkedIn, company websites, and news to identify Head of Design / VP Projects at each builder. Auto-updates when people change roles.</w:t>
            </w:r>
          </w:p>
        </w:tc>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Clay or Apollo + LinkedIn enrichment</w:t>
            </w:r>
          </w:p>
        </w:tc>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3 hrs/week — no more manual LinkedIn research</w:t>
            </w:r>
          </w:p>
        </w:tc>
      </w:tr>
      <w:tr>
        <w:tc>
          <w:tcPr>
            <w:tcW w:type="dxa"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Outreach Agent</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Drafts hyper-personalised 4-line messages mentioning the builder's specific project, neighbourhood, and design style. Sends sequences and tracks opens and replies.</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Make.com + Claude API</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4 hrs/week — no more manual outreach writing</w:t>
            </w:r>
          </w:p>
        </w:tc>
      </w:tr>
      <w:tr>
        <w:tc>
          <w:tcPr>
            <w:tcW w:type="dxa"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Empanelment Tracker</w:t>
            </w:r>
          </w:p>
        </w:tc>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Monitors each builder's vendor portal. Alerts when empanelment windows open. Pre-fills forms with beMore's standard credentials and compliance documents.</w:t>
            </w:r>
          </w:p>
        </w:tc>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Make.com + Zapier</w:t>
            </w:r>
          </w:p>
        </w:tc>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2 hrs/week — no missed empanelment windows</w:t>
            </w:r>
          </w:p>
        </w:tc>
      </w:tr>
      <w:tr>
        <w:tc>
          <w:tcPr>
            <w:tcW w:type="dxa"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Pipeline CRM Bot</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Auto-logs every interaction. Scores leads by project size, timeline, and design orientation. Tells the BD team exactly who to call next.</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Notion or Airtable + Claude API</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2 hrs/week — no CRM data entry</w:t>
            </w:r>
          </w:p>
        </w:tc>
      </w:tr>
      <w:tr>
        <w:tc>
          <w:tcPr>
            <w:tcW w:type="dxa" w:w="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Market Intel Agent</w:t>
            </w:r>
          </w:p>
        </w:tc>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Monitors property news, land acquisitions, and new launches. Sends weekly digest so beMore always knows about a new project before the builder officially announces.</w:t>
            </w:r>
          </w:p>
        </w:tc>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Perplexity + Claude API</w:t>
            </w:r>
          </w:p>
        </w:tc>
        <w:tc>
          <w:tcPr>
            <w:tcW w:type="dxa"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3 hrs/week — always ahead of brief windows</w:t>
            </w:r>
          </w:p>
        </w:tc>
      </w:tr>
    </w:tbl>
    <w:p>
      <w:pPr>
        <w:spacing w:before="0" w:after="320"/>
      </w:pPr>
    </w:p>
    <w:tbl>
      <w:tblPr>
        <w:tblW w:type="dxa" w:w="8720"/>
        <w:tblBorders>
          <w:top w:val="single" w:color="1A1A2E" w:sz="1"/>
          <w:left w:val="single" w:color="1A1A2E" w:sz="1"/>
          <w:bottom w:val="single" w:color="1A1A2E" w:sz="1"/>
          <w:right w:val="single" w:color="1A1A2E" w:sz="1"/>
          <w:insideH w:val="single" w:color="auto" w:sz="4"/>
          <w:insideV w:val="single" w:color="auto" w:sz="4"/>
        </w:tblBorders>
      </w:tblPr>
      <w:tblGrid>
        <w:gridCol w:w="8720"/>
      </w:tblGrid>
      <w:tr>
        <w:tc>
          <w:tcPr>
            <w:tcW w:type="dxa" w:w="8720"/>
            <w:tcBorders>
              <w:top w:val="single" w:color="1A1A2E" w:sz="1"/>
              <w:left w:val="single" w:color="1A1A2E" w:sz="1"/>
              <w:bottom w:val="single" w:color="1A1A2E" w:sz="1"/>
              <w:right w:val="single" w:color="1A1A2E" w:sz="1"/>
            </w:tcBorders>
            <w:shd w:fill="F5F5F5" w:val="clear"/>
            <w:tcMar>
              <w:top w:type="dxa" w:w="120"/>
              <w:left w:type="dxa" w:w="200"/>
              <w:bottom w:type="dxa" w:w="120"/>
              <w:right w:type="dxa" w:w="200"/>
            </w:tcMar>
          </w:tcPr>
          <w:p>
            <w:pPr>
              <w:spacing w:before="0" w:after="60"/>
            </w:pPr>
            <w:r>
              <w:rPr>
                <w:rFonts w:ascii="Arial" w:cs="Arial" w:eastAsia="Arial" w:hAnsi="Arial"/>
                <w:b/>
                <w:bCs/>
                <w:color w:val="1A1A2E"/>
                <w:sz w:val="20"/>
                <w:szCs w:val="20"/>
              </w:rPr>
              <w:t xml:space="preserve">Start Here — Not With All Six</w:t>
            </w:r>
          </w:p>
          <w:p>
            <w:pPr>
              <w:spacing w:before="0" w:after="0"/>
            </w:pPr>
            <w:r>
              <w:rPr>
                <w:rFonts w:ascii="Arial" w:cs="Arial" w:eastAsia="Arial" w:hAnsi="Arial"/>
                <w:color w:val="1A1A1A"/>
                <w:sz w:val="22"/>
                <w:szCs w:val="22"/>
              </w:rPr>
              <w:t xml:space="preserve">The Scout Agent and Decision-Maker Finder alone save 11 hours per week and cost under ₹3,000/month combined. Start with these two. The outreach agent can be added once the first two are generating leads consistently. Build incrementally — don't try to automate everything before the first project is won.</w:t>
            </w:r>
          </w:p>
        </w:tc>
      </w:tr>
    </w:tbl>
    <w:p>
      <w:pPr>
        <w:spacing w:before="0" w:after="480"/>
      </w:pPr>
    </w:p>
    <w:p>
      <w:r>
        <w:br w:type="page"/>
      </w:r>
    </w:p>
    <w:p>
      <w:pPr>
        <w:pStyle w:val="Heading1"/>
        <w:pBdr>
          <w:bottom w:val="single" w:color="1A1A2E" w:sz="6" w:space="4"/>
        </w:pBdr>
        <w:spacing w:before="360" w:after="160"/>
      </w:pPr>
      <w:r>
        <w:rPr>
          <w:rFonts w:ascii="Arial" w:cs="Arial" w:eastAsia="Arial" w:hAnsi="Arial"/>
          <w:b/>
          <w:bCs/>
          <w:color w:val="1A1A2E"/>
          <w:sz w:val="32"/>
          <w:szCs w:val="32"/>
        </w:rPr>
        <w:t xml:space="preserve">9. 90-Day Action Roadmap</w:t>
      </w:r>
    </w:p>
    <w:p>
      <w:pPr>
        <w:pStyle w:val="Heading2"/>
        <w:spacing w:before="280" w:after="120"/>
      </w:pPr>
      <w:r>
        <w:rPr>
          <w:rFonts w:ascii="Arial" w:cs="Arial" w:eastAsia="Arial" w:hAnsi="Arial"/>
          <w:b/>
          <w:bCs/>
          <w:color w:val="1A1A2E"/>
          <w:sz w:val="26"/>
          <w:szCs w:val="26"/>
        </w:rPr>
        <w:t xml:space="preserve">9.1  The Three Phases</w:t>
      </w:r>
    </w:p>
    <w:p>
      <w:pPr>
        <w:spacing w:before="0" w:after="160"/>
      </w:pP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906"/>
        <w:gridCol w:w="2906"/>
        <w:gridCol w:w="2906"/>
      </w:tblGrid>
      <w:tr>
        <w:trPr>
          <w:tblHeader/>
        </w:trPr>
        <w:tc>
          <w:tcPr>
            <w:tcW w:type="dxa" w:w="2906"/>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Phase 1 — Foundation (Days 1–30)</w:t>
            </w:r>
          </w:p>
        </w:tc>
        <w:tc>
          <w:tcPr>
            <w:tcW w:type="dxa" w:w="2906"/>
            <w:tcBorders>
              <w:top w:val="single" w:color="1A1A2E" w:sz="1"/>
              <w:left w:val="single" w:color="1A1A2E" w:sz="1"/>
              <w:bottom w:val="single" w:color="1A1A2E" w:sz="1"/>
              <w:right w:val="single" w:color="1A1A2E" w:sz="1"/>
            </w:tcBorders>
            <w:shd w:fill="1D6F42"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Phase 2 — Pipeline (Days 31–60)</w:t>
            </w:r>
          </w:p>
        </w:tc>
        <w:tc>
          <w:tcPr>
            <w:tcW w:type="dxa" w:w="2906"/>
            <w:tcBorders>
              <w:top w:val="single" w:color="1A1A2E" w:sz="1"/>
              <w:left w:val="single" w:color="1A1A2E" w:sz="1"/>
              <w:bottom w:val="single" w:color="1A1A2E" w:sz="1"/>
              <w:right w:val="single" w:color="1A1A2E" w:sz="1"/>
            </w:tcBorders>
            <w:shd w:fill="0D6E6E"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Phase 3 — Convert (Days 61–90)</w:t>
            </w:r>
          </w:p>
        </w:tc>
      </w:tr>
      <w:tr>
        <w:tc>
          <w:tcPr>
            <w:tcW w:type="dxa" w:w="2906"/>
            <w:tcBorders>
              <w:top w:val="single" w:color="CCCCCC" w:sz="1"/>
              <w:left w:val="single" w:color="CCCCCC" w:sz="1"/>
              <w:bottom w:val="single" w:color="CCCCCC" w:sz="1"/>
              <w:right w:val="single" w:color="CCCCCC" w:sz="1"/>
            </w:tcBorders>
            <w:shd w:fill="EEF2F7" w:val="clear"/>
            <w:tcMar>
              <w:top w:type="dxa" w:w="120"/>
              <w:left w:type="dxa" w:w="140"/>
              <w:bottom w:type="dxa" w:w="120"/>
              <w:right w:type="dxa" w:w="140"/>
            </w:tcMar>
          </w:tcPr>
          <w:p>
            <w:pPr>
              <w:pStyle w:val="ListParagraph"/>
              <w:numPr>
                <w:ilvl w:val="0"/>
                <w:numId w:val="2"/>
              </w:numPr>
              <w:spacing w:before="30" w:after="50"/>
            </w:pPr>
            <w:r>
              <w:rPr>
                <w:rFonts w:ascii="Arial" w:cs="Arial" w:eastAsia="Arial" w:hAnsi="Arial"/>
                <w:color w:val="1A1A1A"/>
                <w:sz w:val="19"/>
                <w:szCs w:val="19"/>
              </w:rPr>
              <w:t xml:space="preserve">Build the 3-slide vendor deck</w:t>
            </w:r>
          </w:p>
          <w:p>
            <w:pPr>
              <w:pStyle w:val="ListParagraph"/>
              <w:numPr>
                <w:ilvl w:val="0"/>
                <w:numId w:val="2"/>
              </w:numPr>
              <w:spacing w:before="30" w:after="50"/>
            </w:pPr>
            <w:r>
              <w:rPr>
                <w:rFonts w:ascii="Arial" w:cs="Arial" w:eastAsia="Arial" w:hAnsi="Arial"/>
                <w:color w:val="1A1A1A"/>
                <w:sz w:val="19"/>
                <w:szCs w:val="19"/>
              </w:rPr>
              <w:t xml:space="preserve">Build the Woodscape concept proof mood board</w:t>
            </w:r>
          </w:p>
          <w:p>
            <w:pPr>
              <w:pStyle w:val="ListParagraph"/>
              <w:numPr>
                <w:ilvl w:val="0"/>
                <w:numId w:val="2"/>
              </w:numPr>
              <w:spacing w:before="30" w:after="50"/>
            </w:pPr>
            <w:r>
              <w:rPr>
                <w:rFonts w:ascii="Arial" w:cs="Arial" w:eastAsia="Arial" w:hAnsi="Arial"/>
                <w:color w:val="1A1A1A"/>
                <w:sz w:val="19"/>
                <w:szCs w:val="19"/>
              </w:rPr>
              <w:t xml:space="preserve">Begin Sowmya Prakash LinkedIn sequence</w:t>
            </w:r>
          </w:p>
          <w:p>
            <w:pPr>
              <w:pStyle w:val="ListParagraph"/>
              <w:numPr>
                <w:ilvl w:val="0"/>
                <w:numId w:val="2"/>
              </w:numPr>
              <w:spacing w:before="30" w:after="50"/>
            </w:pPr>
            <w:r>
              <w:rPr>
                <w:rFonts w:ascii="Arial" w:cs="Arial" w:eastAsia="Arial" w:hAnsi="Arial"/>
                <w:color w:val="1A1A1A"/>
                <w:sz w:val="19"/>
                <w:szCs w:val="19"/>
              </w:rPr>
              <w:t xml:space="preserve">Submit Godrej empanelment paperwork</w:t>
            </w:r>
          </w:p>
          <w:p>
            <w:pPr>
              <w:pStyle w:val="ListParagraph"/>
              <w:numPr>
                <w:ilvl w:val="0"/>
                <w:numId w:val="2"/>
              </w:numPr>
              <w:spacing w:before="30" w:after="50"/>
            </w:pPr>
            <w:r>
              <w:rPr>
                <w:rFonts w:ascii="Arial" w:cs="Arial" w:eastAsia="Arial" w:hAnsi="Arial"/>
                <w:color w:val="1A1A1A"/>
                <w:sz w:val="19"/>
                <w:szCs w:val="19"/>
              </w:rPr>
              <w:t xml:space="preserve">Connect with Pavan Haribal (Sumadhura Sarang)</w:t>
            </w:r>
          </w:p>
          <w:p>
            <w:pPr>
              <w:pStyle w:val="ListParagraph"/>
              <w:numPr>
                <w:ilvl w:val="0"/>
                <w:numId w:val="2"/>
              </w:numPr>
              <w:spacing w:before="30" w:after="50"/>
            </w:pPr>
            <w:r>
              <w:rPr>
                <w:rFonts w:ascii="Arial" w:cs="Arial" w:eastAsia="Arial" w:hAnsi="Arial"/>
                <w:color w:val="1A1A1A"/>
                <w:sz w:val="19"/>
                <w:szCs w:val="19"/>
              </w:rPr>
              <w:t xml:space="preserve">Connect with Ratheesh Nambiar (Nambiar District 25)</w:t>
            </w:r>
          </w:p>
          <w:p>
            <w:pPr>
              <w:pStyle w:val="ListParagraph"/>
              <w:numPr>
                <w:ilvl w:val="0"/>
                <w:numId w:val="2"/>
              </w:numPr>
              <w:spacing w:before="30" w:after="50"/>
            </w:pPr>
            <w:r>
              <w:rPr>
                <w:rFonts w:ascii="Arial" w:cs="Arial" w:eastAsia="Arial" w:hAnsi="Arial"/>
                <w:color w:val="1A1A1A"/>
                <w:sz w:val="19"/>
                <w:szCs w:val="19"/>
              </w:rPr>
              <w:t xml:space="preserve">Set up RERA scout agent + decision-maker finder</w:t>
            </w:r>
          </w:p>
          <w:p>
            <w:pPr>
              <w:pStyle w:val="ListParagraph"/>
              <w:numPr>
                <w:ilvl w:val="0"/>
                <w:numId w:val="2"/>
              </w:numPr>
              <w:spacing w:before="30" w:after="50"/>
            </w:pPr>
            <w:r>
              <w:rPr>
                <w:rFonts w:ascii="Arial" w:cs="Arial" w:eastAsia="Arial" w:hAnsi="Arial"/>
                <w:color w:val="1A1A1A"/>
                <w:sz w:val="19"/>
                <w:szCs w:val="19"/>
              </w:rPr>
              <w:t xml:space="preserve">Target: 20 builder contacts identified on LinkedIn</w:t>
            </w:r>
          </w:p>
        </w:tc>
        <w:tc>
          <w:tcPr>
            <w:tcW w:type="dxa" w:w="2906"/>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pPr>
              <w:pStyle w:val="ListParagraph"/>
              <w:numPr>
                <w:ilvl w:val="0"/>
                <w:numId w:val="2"/>
              </w:numPr>
              <w:spacing w:before="30" w:after="50"/>
            </w:pPr>
            <w:r>
              <w:rPr>
                <w:rFonts w:ascii="Arial" w:cs="Arial" w:eastAsia="Arial" w:hAnsi="Arial"/>
                <w:color w:val="1A1A1A"/>
                <w:sz w:val="19"/>
                <w:szCs w:val="19"/>
              </w:rPr>
              <w:t xml:space="preserve">Send first message to Sowmya after connection accepted</w:t>
            </w:r>
          </w:p>
          <w:p>
            <w:pPr>
              <w:pStyle w:val="ListParagraph"/>
              <w:numPr>
                <w:ilvl w:val="0"/>
                <w:numId w:val="2"/>
              </w:numPr>
              <w:spacing w:before="30" w:after="50"/>
            </w:pPr>
            <w:r>
              <w:rPr>
                <w:rFonts w:ascii="Arial" w:cs="Arial" w:eastAsia="Arial" w:hAnsi="Arial"/>
                <w:color w:val="1A1A1A"/>
                <w:sz w:val="19"/>
                <w:szCs w:val="19"/>
              </w:rPr>
              <w:t xml:space="preserve">Request meetings with Sumadhura and Nambiar</w:t>
            </w:r>
          </w:p>
          <w:p>
            <w:pPr>
              <w:pStyle w:val="ListParagraph"/>
              <w:numPr>
                <w:ilvl w:val="0"/>
                <w:numId w:val="2"/>
              </w:numPr>
              <w:spacing w:before="30" w:after="50"/>
            </w:pPr>
            <w:r>
              <w:rPr>
                <w:rFonts w:ascii="Arial" w:cs="Arial" w:eastAsia="Arial" w:hAnsi="Arial"/>
                <w:color w:val="1A1A1A"/>
                <w:sz w:val="19"/>
                <w:szCs w:val="19"/>
              </w:rPr>
              <w:t xml:space="preserve">Submit formal empanelment at 3 builders (parallel)</w:t>
            </w:r>
          </w:p>
          <w:p>
            <w:pPr>
              <w:pStyle w:val="ListParagraph"/>
              <w:numPr>
                <w:ilvl w:val="0"/>
                <w:numId w:val="2"/>
              </w:numPr>
              <w:spacing w:before="30" w:after="50"/>
            </w:pPr>
            <w:r>
              <w:rPr>
                <w:rFonts w:ascii="Arial" w:cs="Arial" w:eastAsia="Arial" w:hAnsi="Arial"/>
                <w:color w:val="1A1A1A"/>
                <w:sz w:val="19"/>
                <w:szCs w:val="19"/>
              </w:rPr>
              <w:t xml:space="preserve">Connect with Rakesh Kumar (Birla Estates) and Shama Chanekar (Brigade)</w:t>
            </w:r>
          </w:p>
          <w:p>
            <w:pPr>
              <w:pStyle w:val="ListParagraph"/>
              <w:numPr>
                <w:ilvl w:val="0"/>
                <w:numId w:val="2"/>
              </w:numPr>
              <w:spacing w:before="30" w:after="50"/>
            </w:pPr>
            <w:r>
              <w:rPr>
                <w:rFonts w:ascii="Arial" w:cs="Arial" w:eastAsia="Arial" w:hAnsi="Arial"/>
                <w:color w:val="1A1A1A"/>
                <w:sz w:val="19"/>
                <w:szCs w:val="19"/>
              </w:rPr>
              <w:t xml:space="preserve">Submit Prestige empanelment to Procurement (parallel to Mistry outreach)</w:t>
            </w:r>
          </w:p>
          <w:p>
            <w:pPr>
              <w:pStyle w:val="ListParagraph"/>
              <w:numPr>
                <w:ilvl w:val="0"/>
                <w:numId w:val="2"/>
              </w:numPr>
              <w:spacing w:before="30" w:after="50"/>
            </w:pPr>
            <w:r>
              <w:rPr>
                <w:rFonts w:ascii="Arial" w:cs="Arial" w:eastAsia="Arial" w:hAnsi="Arial"/>
                <w:color w:val="1A1A1A"/>
                <w:sz w:val="19"/>
                <w:szCs w:val="19"/>
              </w:rPr>
              <w:t xml:space="preserve">Deploy outreach agent for 10+ active leads per week</w:t>
            </w:r>
          </w:p>
          <w:p>
            <w:pPr>
              <w:pStyle w:val="ListParagraph"/>
              <w:numPr>
                <w:ilvl w:val="0"/>
                <w:numId w:val="2"/>
              </w:numPr>
              <w:spacing w:before="30" w:after="50"/>
            </w:pPr>
            <w:r>
              <w:rPr>
                <w:rFonts w:ascii="Arial" w:cs="Arial" w:eastAsia="Arial" w:hAnsi="Arial"/>
                <w:color w:val="1A1A1A"/>
                <w:sz w:val="19"/>
                <w:szCs w:val="19"/>
              </w:rPr>
              <w:t xml:space="preserve">Target: 5 qualified meetings completed</w:t>
            </w:r>
          </w:p>
        </w:tc>
        <w:tc>
          <w:tcPr>
            <w:tcW w:type="dxa" w:w="2906"/>
            <w:tcBorders>
              <w:top w:val="single" w:color="CCCCCC" w:sz="1"/>
              <w:left w:val="single" w:color="CCCCCC" w:sz="1"/>
              <w:bottom w:val="single" w:color="CCCCCC" w:sz="1"/>
              <w:right w:val="single" w:color="CCCCCC" w:sz="1"/>
            </w:tcBorders>
            <w:shd w:fill="E8F5E9" w:val="clear"/>
            <w:tcMar>
              <w:top w:type="dxa" w:w="120"/>
              <w:left w:type="dxa" w:w="140"/>
              <w:bottom w:type="dxa" w:w="120"/>
              <w:right w:type="dxa" w:w="140"/>
            </w:tcMar>
          </w:tcPr>
          <w:p>
            <w:pPr>
              <w:pStyle w:val="ListParagraph"/>
              <w:numPr>
                <w:ilvl w:val="0"/>
                <w:numId w:val="2"/>
              </w:numPr>
              <w:spacing w:before="30" w:after="50"/>
            </w:pPr>
            <w:r>
              <w:rPr>
                <w:rFonts w:ascii="Arial" w:cs="Arial" w:eastAsia="Arial" w:hAnsi="Arial"/>
                <w:color w:val="1A1A1A"/>
                <w:sz w:val="19"/>
                <w:szCs w:val="19"/>
              </w:rPr>
              <w:t xml:space="preserve">Woodscape meeting and concept presentation</w:t>
            </w:r>
          </w:p>
          <w:p>
            <w:pPr>
              <w:pStyle w:val="ListParagraph"/>
              <w:numPr>
                <w:ilvl w:val="0"/>
                <w:numId w:val="2"/>
              </w:numPr>
              <w:spacing w:before="30" w:after="50"/>
            </w:pPr>
            <w:r>
              <w:rPr>
                <w:rFonts w:ascii="Arial" w:cs="Arial" w:eastAsia="Arial" w:hAnsi="Arial"/>
                <w:color w:val="1A1A1A"/>
                <w:sz w:val="19"/>
                <w:szCs w:val="19"/>
              </w:rPr>
              <w:t xml:space="preserve">Receive show flat brief from at least 1 builder</w:t>
            </w:r>
          </w:p>
          <w:p>
            <w:pPr>
              <w:pStyle w:val="ListParagraph"/>
              <w:numPr>
                <w:ilvl w:val="0"/>
                <w:numId w:val="2"/>
              </w:numPr>
              <w:spacing w:before="30" w:after="50"/>
            </w:pPr>
            <w:r>
              <w:rPr>
                <w:rFonts w:ascii="Arial" w:cs="Arial" w:eastAsia="Arial" w:hAnsi="Arial"/>
                <w:color w:val="1A1A1A"/>
                <w:sz w:val="19"/>
                <w:szCs w:val="19"/>
              </w:rPr>
              <w:t xml:space="preserve">Win and sign first B2B project</w:t>
            </w:r>
          </w:p>
          <w:p>
            <w:pPr>
              <w:pStyle w:val="ListParagraph"/>
              <w:numPr>
                <w:ilvl w:val="0"/>
                <w:numId w:val="2"/>
              </w:numPr>
              <w:spacing w:before="30" w:after="50"/>
            </w:pPr>
            <w:r>
              <w:rPr>
                <w:rFonts w:ascii="Arial" w:cs="Arial" w:eastAsia="Arial" w:hAnsi="Arial"/>
                <w:color w:val="1A1A1A"/>
                <w:sz w:val="19"/>
                <w:szCs w:val="19"/>
              </w:rPr>
              <w:t xml:space="preserve">Begin Prestige Southern Star discussion with Mistry</w:t>
            </w:r>
          </w:p>
          <w:p>
            <w:pPr>
              <w:pStyle w:val="ListParagraph"/>
              <w:numPr>
                <w:ilvl w:val="0"/>
                <w:numId w:val="2"/>
              </w:numPr>
              <w:spacing w:before="30" w:after="50"/>
            </w:pPr>
            <w:r>
              <w:rPr>
                <w:rFonts w:ascii="Arial" w:cs="Arial" w:eastAsia="Arial" w:hAnsi="Arial"/>
                <w:color w:val="1A1A1A"/>
                <w:sz w:val="19"/>
                <w:szCs w:val="19"/>
              </w:rPr>
              <w:t xml:space="preserve">Hire or engage BD consultant (retainer model)</w:t>
            </w:r>
          </w:p>
          <w:p>
            <w:pPr>
              <w:pStyle w:val="ListParagraph"/>
              <w:numPr>
                <w:ilvl w:val="0"/>
                <w:numId w:val="2"/>
              </w:numPr>
              <w:spacing w:before="30" w:after="50"/>
            </w:pPr>
            <w:r>
              <w:rPr>
                <w:rFonts w:ascii="Arial" w:cs="Arial" w:eastAsia="Arial" w:hAnsi="Arial"/>
                <w:color w:val="1A1A1A"/>
                <w:sz w:val="19"/>
                <w:szCs w:val="19"/>
              </w:rPr>
              <w:t xml:space="preserve">Target: 1 empanelment confirmed, 1 brief awarded, first invoice raised</w:t>
            </w:r>
          </w:p>
        </w:tc>
      </w:tr>
    </w:tbl>
    <w:p>
      <w:pPr>
        <w:spacing w:before="0" w:after="320"/>
      </w:pPr>
    </w:p>
    <w:p>
      <w:pPr>
        <w:pStyle w:val="Heading2"/>
        <w:spacing w:before="280" w:after="120"/>
      </w:pPr>
      <w:r>
        <w:rPr>
          <w:rFonts w:ascii="Arial" w:cs="Arial" w:eastAsia="Arial" w:hAnsi="Arial"/>
          <w:b/>
          <w:bCs/>
          <w:color w:val="1A1A2E"/>
          <w:sz w:val="26"/>
          <w:szCs w:val="26"/>
        </w:rPr>
        <w:t xml:space="preserve">9.2  Success Metrics — How To Know It Is Working</w:t>
      </w:r>
    </w:p>
    <w:p>
      <w:pPr>
        <w:spacing w:before="0" w:after="160"/>
      </w:pP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906"/>
        <w:gridCol w:w="2906"/>
        <w:gridCol w:w="2906"/>
      </w:tblGrid>
      <w:tr>
        <w:trPr>
          <w:tblHeader/>
        </w:trPr>
        <w:tc>
          <w:tcPr>
            <w:tcW w:type="dxa" w:w="29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Metric</w:t>
            </w:r>
          </w:p>
        </w:tc>
        <w:tc>
          <w:tcPr>
            <w:tcW w:type="dxa" w:w="29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30-Day Target</w:t>
            </w:r>
          </w:p>
        </w:tc>
        <w:tc>
          <w:tcPr>
            <w:tcW w:type="dxa" w:w="29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90-Day Target</w:t>
            </w:r>
          </w:p>
        </w:tc>
      </w:tr>
      <w:tr>
        <w:trPr>
          <w:tblHeader w:val="false"/>
        </w:trPr>
        <w:tc>
          <w:tcPr>
            <w:tcW w:type="dxa" w:w="290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Builder contacts identified</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20</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50+</w:t>
            </w:r>
          </w:p>
        </w:tc>
      </w:tr>
      <w:tr>
        <w:trPr>
          <w:tblHeader w:val="false"/>
        </w:trPr>
        <w:tc>
          <w:tcPr>
            <w:tcW w:type="dxa" w:w="290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LinkedIn connections accepted</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10</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30+</w:t>
            </w:r>
          </w:p>
        </w:tc>
      </w:tr>
      <w:tr>
        <w:trPr>
          <w:tblHeader w:val="false"/>
        </w:trPr>
        <w:tc>
          <w:tcPr>
            <w:tcW w:type="dxa" w:w="290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Qualified meetings completed</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2</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8+</w:t>
            </w:r>
          </w:p>
        </w:tc>
      </w:tr>
      <w:tr>
        <w:trPr>
          <w:tblHeader w:val="false"/>
        </w:trPr>
        <w:tc>
          <w:tcPr>
            <w:tcW w:type="dxa" w:w="290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Empanelment applications submitted</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1</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5+</w:t>
            </w:r>
          </w:p>
        </w:tc>
      </w:tr>
      <w:tr>
        <w:trPr>
          <w:tblHeader w:val="false"/>
        </w:trPr>
        <w:tc>
          <w:tcPr>
            <w:tcW w:type="dxa" w:w="290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Show flat briefs received</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0</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2+</w:t>
            </w:r>
          </w:p>
        </w:tc>
      </w:tr>
      <w:tr>
        <w:trPr>
          <w:tblHeader w:val="false"/>
        </w:trPr>
        <w:tc>
          <w:tcPr>
            <w:tcW w:type="dxa" w:w="290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Projects signed</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0</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1</w:t>
            </w:r>
          </w:p>
        </w:tc>
      </w:tr>
      <w:tr>
        <w:trPr>
          <w:tblHeader w:val="false"/>
        </w:trPr>
        <w:tc>
          <w:tcPr>
            <w:tcW w:type="dxa" w:w="290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Revenue invoiced</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₹0</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₹15–25L</w:t>
            </w:r>
          </w:p>
        </w:tc>
      </w:tr>
    </w:tbl>
    <w:p>
      <w:pPr>
        <w:spacing w:before="0" w:after="480"/>
      </w:pPr>
    </w:p>
    <w:p>
      <w:r>
        <w:br w:type="page"/>
      </w:r>
    </w:p>
    <w:p>
      <w:pPr>
        <w:pStyle w:val="Heading1"/>
        <w:pBdr>
          <w:bottom w:val="single" w:color="1A1A2E" w:sz="6" w:space="4"/>
        </w:pBdr>
        <w:spacing w:before="360" w:after="160"/>
      </w:pPr>
      <w:r>
        <w:rPr>
          <w:rFonts w:ascii="Arial" w:cs="Arial" w:eastAsia="Arial" w:hAnsi="Arial"/>
          <w:b/>
          <w:bCs/>
          <w:color w:val="1A1A2E"/>
          <w:sz w:val="32"/>
          <w:szCs w:val="32"/>
        </w:rPr>
        <w:t xml:space="preserve">10. The Bottom Line</w:t>
      </w:r>
    </w:p>
    <w:p>
      <w:pPr>
        <w:spacing w:before="60" w:after="100"/>
        <w:jc w:val="left"/>
      </w:pPr>
      <w:r>
        <w:rPr>
          <w:rFonts w:ascii="Arial" w:cs="Arial" w:eastAsia="Arial" w:hAnsi="Arial"/>
          <w:color w:val="1A1A1A"/>
          <w:sz w:val="22"/>
          <w:szCs w:val="22"/>
        </w:rPr>
        <w:t xml:space="preserve">The Bangalore market is not waiting. Over 100 new residential projects are launching in the next two years. Every one of them needs a show flat. The builders who are launching right now — Godrej, Nambiar, Abhee, Sumadhura, Prestige — are looking for the vendor who reaches them before the brief goes out.</w:t>
      </w:r>
    </w:p>
    <w:p>
      <w:pPr>
        <w:spacing w:before="0" w:after="240"/>
      </w:pP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8720"/>
      </w:tblGrid>
      <w:tr>
        <w:tc>
          <w:tcPr>
            <w:tcW w:type="dxa" w:w="8720"/>
            <w:tcBorders>
              <w:top w:val="single" w:color="1A1A2E" w:sz="1"/>
              <w:left w:val="single" w:color="1A1A2E" w:sz="1"/>
              <w:bottom w:val="single" w:color="1A1A2E" w:sz="1"/>
              <w:right w:val="single" w:color="1A1A2E" w:sz="1"/>
            </w:tcBorders>
            <w:shd w:fill="1A1A2E" w:val="clear"/>
            <w:tcMar>
              <w:top w:type="dxa" w:w="200"/>
              <w:left w:type="dxa" w:w="240"/>
              <w:bottom w:type="dxa" w:w="200"/>
              <w:right w:type="dxa" w:w="240"/>
            </w:tcMar>
          </w:tcPr>
          <w:p>
            <w:pPr>
              <w:spacing w:before="0" w:after="100"/>
              <w:jc w:val="center"/>
            </w:pPr>
            <w:r>
              <w:rPr>
                <w:rFonts w:ascii="Arial" w:cs="Arial" w:eastAsia="Arial" w:hAnsi="Arial"/>
                <w:b/>
                <w:bCs/>
                <w:color w:val="C9A84C"/>
                <w:sz w:val="22"/>
                <w:szCs w:val="22"/>
              </w:rPr>
              <w:t xml:space="preserve">The whole game is this:</w:t>
            </w:r>
          </w:p>
          <w:p>
            <w:pPr>
              <w:spacing w:before="0" w:after="100"/>
              <w:jc w:val="center"/>
            </w:pPr>
            <w:r>
              <w:rPr>
                <w:rFonts w:ascii="Arial" w:cs="Arial" w:eastAsia="Arial" w:hAnsi="Arial"/>
                <w:b/>
                <w:bCs/>
                <w:color w:val="FFFFFF"/>
                <w:sz w:val="26"/>
                <w:szCs w:val="26"/>
              </w:rPr>
              <w:t xml:space="preserve">Be visible before the brief goes out.</w:t>
            </w:r>
          </w:p>
          <w:p>
            <w:pPr>
              <w:spacing w:before="0" w:after="100"/>
              <w:jc w:val="center"/>
            </w:pPr>
            <w:r>
              <w:rPr>
                <w:rFonts w:ascii="Arial" w:cs="Arial" w:eastAsia="Arial" w:hAnsi="Arial"/>
                <w:b/>
                <w:bCs/>
                <w:color w:val="FFFFFF"/>
                <w:sz w:val="26"/>
                <w:szCs w:val="26"/>
              </w:rPr>
              <w:t xml:space="preserve">Respond faster than anyone else.</w:t>
            </w:r>
          </w:p>
          <w:p>
            <w:pPr>
              <w:spacing w:before="0" w:after="100"/>
              <w:jc w:val="center"/>
            </w:pPr>
            <w:r>
              <w:rPr>
                <w:rFonts w:ascii="Arial" w:cs="Arial" w:eastAsia="Arial" w:hAnsi="Arial"/>
                <w:b/>
                <w:bCs/>
                <w:color w:val="FFFFFF"/>
                <w:sz w:val="26"/>
                <w:szCs w:val="26"/>
              </w:rPr>
              <w:t xml:space="preserve">Make it easy for the builder to say yes.</w:t>
            </w:r>
          </w:p>
          <w:p>
            <w:pPr>
              <w:spacing w:before="0" w:after="0"/>
              <w:jc w:val="center"/>
            </w:pPr>
            <w:r>
              <w:rPr>
                <w:rFonts w:ascii="Arial" w:cs="Arial" w:eastAsia="Arial" w:hAnsi="Arial"/>
                <w:color w:val="C9A84C"/>
                <w:sz w:val="22"/>
                <w:szCs w:val="22"/>
              </w:rPr>
              <w:t xml:space="preserve">Everything else follows from that first project.</w:t>
            </w:r>
          </w:p>
        </w:tc>
      </w:tr>
    </w:tbl>
    <w:p>
      <w:pPr>
        <w:spacing w:before="0" w:after="400"/>
      </w:pP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000"/>
        <w:gridCol w:w="672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When</w:t>
            </w:r>
          </w:p>
        </w:tc>
        <w:tc>
          <w:tcPr>
            <w:tcW w:type="dxa" w:w="67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beMore Does</w:t>
            </w:r>
          </w:p>
        </w:tc>
      </w:tr>
      <w:tr>
        <w:trPr>
          <w:tblHeader w:val="false"/>
        </w:trP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Start today</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Sowmya Prakash, LinkedIn. Follow her profile. Build the Woodscape mood board. The brief window is open for 3–4 more weeks.</w:t>
            </w:r>
          </w:p>
        </w:tc>
      </w:tr>
      <w:tr>
        <w:trPr>
          <w:tblHeader w:val="false"/>
        </w:trP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This week</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3-slide vendor PDF completed and named. Godrej empanelment call made. Sumadhura and Nambiar connections sent.</w:t>
            </w:r>
          </w:p>
        </w:tc>
      </w:tr>
      <w:tr>
        <w:trPr>
          <w:tblHeader w:val="false"/>
        </w:trP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This month</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5 qualified meetings. 2 empanelment submissions. 1 brief invited. First invoice: ₹15–25L.</w:t>
            </w:r>
          </w:p>
        </w:tc>
      </w:tr>
      <w:tr>
        <w:trPr>
          <w:tblHeader w:val="false"/>
        </w:trP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This year</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20"/>
                <w:szCs w:val="20"/>
              </w:rPr>
              <w:t xml:space="preserve">3–5 builder relationships. 8–12 show flats completed. ₹1.5–2.5Cr B2B revenue. beMore is on Manishkumar Mistry's speed dial.</w:t>
            </w:r>
          </w:p>
        </w:tc>
      </w:tr>
    </w:tbl>
    <w:p>
      <w:pPr>
        <w:spacing w:before="0" w:after="480"/>
      </w:pPr>
    </w:p>
    <w:p>
      <w:pPr>
        <w:pBdr>
          <w:bottom w:val="single" w:color="CCCCCC" w:sz="2" w:space="1"/>
        </w:pBdr>
        <w:spacing w:before="20" w:after="20"/>
      </w:pPr>
    </w:p>
    <w:p>
      <w:pPr>
        <w:spacing w:before="160" w:after="80"/>
        <w:jc w:val="center"/>
      </w:pPr>
      <w:r>
        <w:rPr>
          <w:rFonts w:ascii="Arial" w:cs="Arial" w:eastAsia="Arial" w:hAnsi="Arial"/>
          <w:color w:val="555555"/>
          <w:sz w:val="18"/>
          <w:szCs w:val="18"/>
        </w:rPr>
        <w:t xml:space="preserve">Prepared by Vasu Ranganathan  |  March 2026  |  Prepared for Kavya &amp; Suraj, Co-Founders, beMore Design Studio</w:t>
      </w:r>
    </w:p>
    <w:p>
      <w:pPr>
        <w:spacing w:before="0" w:after="0"/>
        <w:jc w:val="center"/>
      </w:pPr>
      <w:r>
        <w:rPr>
          <w:rFonts w:ascii="Arial" w:cs="Arial" w:eastAsia="Arial" w:hAnsi="Arial"/>
          <w:color w:val="555555"/>
          <w:sz w:val="16"/>
          <w:szCs w:val="16"/>
        </w:rPr>
        <w:t xml:space="preserve">This document is confidential and prepared exclusively for beMore Design Studio. All builder intelligence, lead data, and strategic recommendations are proprietary.</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8720"/>
      </w:tabs>
      <w:spacing w:before="80" w:after="0"/>
    </w:pPr>
    <w:r>
      <w:rPr>
        <w:rFonts w:ascii="Arial" w:cs="Arial" w:eastAsia="Arial" w:hAnsi="Arial"/>
        <w:color w:val="555555"/>
        <w:sz w:val="16"/>
        <w:szCs w:val="16"/>
      </w:rPr>
      <w:t xml:space="preserve">Prepared by Vasu Ranganathan  |  March 2026</w:t>
    </w:r>
    <w:r>
      <w:rPr>
        <w:rFonts w:ascii="Arial" w:cs="Arial" w:eastAsia="Arial" w:hAnsi="Arial"/>
        <w:color w:val="1A1A1A"/>
        <w:sz w:val="16"/>
        <w:szCs w:val="16"/>
      </w:rPr>
      <w:t xml:space="preserve">	</w:t>
    </w:r>
    <w:r>
      <w:rPr>
        <w:rFonts w:ascii="Arial" w:cs="Arial" w:eastAsia="Arial" w:hAnsi="Arial"/>
        <w:color w:val="55555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pBdr>
      <w:tabs>
        <w:tab w:val="right" w:pos="8720"/>
      </w:tabs>
      <w:spacing w:before="0" w:after="80"/>
    </w:pPr>
    <w:r>
      <w:rPr>
        <w:rFonts w:ascii="Arial" w:cs="Arial" w:eastAsia="Arial" w:hAnsi="Arial"/>
        <w:b/>
        <w:bCs/>
        <w:color w:val="1A1A2E"/>
        <w:sz w:val="18"/>
        <w:szCs w:val="18"/>
      </w:rPr>
      <w:t xml:space="preserve">beMore Design Studio  |  B2B Builder Engagement Playbook</w:t>
    </w:r>
    <w:r>
      <w:rPr>
        <w:rFonts w:ascii="Arial" w:cs="Arial" w:eastAsia="Arial" w:hAnsi="Arial"/>
        <w:color w:val="1A1A1A"/>
        <w:sz w:val="18"/>
        <w:szCs w:val="18"/>
      </w:rPr>
      <w:t xml:space="preserve">	</w:t>
    </w:r>
    <w:r>
      <w:rPr>
        <w:rFonts w:ascii="Arial" w:cs="Arial" w:eastAsia="Arial" w:hAnsi="Arial"/>
        <w:b/>
        <w:bCs/>
        <w:color w:val="C9A84C"/>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1A2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D6F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2026-03-23T09:59:32.452Z</dcterms:created>
  <dcterms:modified xsi:type="dcterms:W3CDTF">2026-03-23T09:59:32.453Z</dcterms:modified>
</cp:coreProperties>
</file>

<file path=docProps/custom.xml><?xml version="1.0" encoding="utf-8"?>
<Properties xmlns="http://schemas.openxmlformats.org/officeDocument/2006/custom-properties" xmlns:vt="http://schemas.openxmlformats.org/officeDocument/2006/docPropsVTypes"/>
</file>