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1058" w14:textId="77777777" w:rsidR="00F973F0" w:rsidRDefault="00F973F0">
      <w:pPr>
        <w:jc w:val="center"/>
        <w:rPr>
          <w:color w:val="000000"/>
        </w:rPr>
      </w:pPr>
      <w:r>
        <w:rPr>
          <w:rFonts w:eastAsia="Malgun Gothic"/>
          <w:b/>
          <w:color w:val="000000"/>
          <w:sz w:val="28"/>
        </w:rPr>
        <w:t>MetricLens AI: Lightweight Time-Series Forecasting and Integer-Programming Resizing for On-Premise Server Optimization</w:t>
      </w:r>
    </w:p>
    <w:p w14:paraId="34E0BC10" w14:textId="77777777" w:rsidR="00F973F0" w:rsidRDefault="00F973F0">
      <w:pPr>
        <w:jc w:val="center"/>
        <w:rPr>
          <w:color w:val="000000"/>
        </w:rPr>
      </w:pPr>
      <w:r>
        <w:rPr>
          <w:rFonts w:eastAsia="Malgun Gothic"/>
        </w:rPr>
        <w:t>Lee Yongwon (lead), Seo Hannyeong, Song Simwoo</w:t>
      </w:r>
    </w:p>
    <w:p w14:paraId="2C9B7F37" w14:textId="77777777" w:rsidR="00F973F0" w:rsidRDefault="00F973F0">
      <w:pPr>
        <w:jc w:val="center"/>
        <w:rPr>
          <w:i/>
          <w:color w:val="000000"/>
        </w:rPr>
      </w:pPr>
      <w:r>
        <w:rPr>
          <w:rFonts w:eastAsia="Malgun Gothic"/>
          <w:color w:val="000000"/>
        </w:rPr>
        <w:t>Team Googling — googai_congress</w:t>
      </w:r>
      <w:r w:rsidR="00E75AE5">
        <w:rPr>
          <w:rFonts w:eastAsia="Malgun Gothic"/>
          <w:color w:val="000000"/>
        </w:rPr>
      </w:r>
      <w:r>
        <w:rPr>
          <w:rFonts w:eastAsia="Malgun Gothic"/>
          <w:i/>
          <w:color w:val="000000"/>
        </w:rPr>
      </w:r>
      <w:r w:rsidR="00E75AE5">
        <w:rPr>
          <w:rFonts w:eastAsia="Malgun Gothic"/>
          <w:i/>
          <w:color w:val="000000"/>
        </w:rPr>
      </w:r>
      <w:r>
        <w:rPr>
          <w:rFonts w:eastAsia="Malgun Gothic"/>
          <w:color w:val="000000"/>
        </w:rPr>
      </w:r>
      <w:r w:rsidR="00E75AE5">
        <w:rPr>
          <w:rFonts w:eastAsia="Malgun Gothic"/>
          <w:color w:val="000000"/>
        </w:rPr>
      </w:r>
      <w:r>
        <w:rPr>
          <w:rFonts w:eastAsia="Malgun Gothic"/>
          <w:i/>
          <w:color w:val="000000"/>
        </w:rPr>
      </w:r>
    </w:p>
    <w:p>
      <w:pPr>
        <w:pStyle w:val="Header1"/>
      </w:pPr>
      <w:r>
        <w:rPr>
          <w:rFonts w:eastAsia="Malgun Gothic"/>
        </w:rPr>
        <w:t>Abstract</w:t>
      </w:r>
    </w:p>
    <w:p>
      <w:pPr>
        <w:pStyle w:val="Body"/>
      </w:pPr>
      <w:r>
        <w:rPr>
          <w:rFonts w:eastAsia="Malgun Gothic"/>
        </w:rPr>
        <w:t>Over-provisioning dominates on-premise infrastructure, wasting OPEX and energy. MetricLens AI is a self-contained web platform that ingests multi-dimensional server metrics (CPU, memory, network), forecasts load with a GPU-free, CPU-only time-series model, and derives SLO-aware minimal allocations via integer programming. The forecaster combines seasonal-trend decomposition with an AR(1) residual correction and sizes its prediction interval from out-of-sample backtest error. The resizing engine solves an exact integer program over a bounded space. The system is deployed GCP-natively on Cloud Run via Cloud Build, ingests real Compute Engine instance metrics from Cloud Monitoring, and resizes real VMs within a cost budget. On representative data grounded in public datacentre traces (Azure, Alibaba), the model beats the seasonal-naive baseline (RMSE) on all six workload archetypes (both baselines on 5/6; Diebold-Mariano p&lt;0.05 on 4/6), with 95% prediction-interval coverage of 0.93-0.98.</w:t>
      </w:r>
    </w:p>
    <w:p>
      <w:pPr>
        <w:pStyle w:val="Header1"/>
      </w:pPr>
      <w:r>
        <w:rPr>
          <w:rFonts w:eastAsia="Malgun Gothic"/>
        </w:rPr>
        <w:t>1. Introduction</w:t>
      </w:r>
    </w:p>
    <w:p>
      <w:pPr>
        <w:pStyle w:val="Body"/>
      </w:pPr>
      <w:r>
        <w:rPr>
          <w:rFonts w:eastAsia="Malgun Gothic"/>
        </w:rPr>
        <w:t>Conservative capacity planning leaves servers chronically idle (the Azure trace shows 60% of VMs average below 20% CPU). Public-cloud optimizers are unavailable in air-gapped or regulated on-premise environments. MetricLens AI targets this gap: an external-dependency-free, GPU-free system that turns telemetry into quantitative right-sizing guidance. Contributions: (i) a standard-library seasonal-trend + AR forecaster; (ii) an exact integer-programming resizing engine with a percentile-peak safety statistic; (iii) Cloud Monitoring-based real-instance monitoring and budget-guarded real resize; (iv) representative data grounded in public traces with a paper-level evaluation.</w:t>
      </w:r>
    </w:p>
    <w:p>
      <w:pPr>
        <w:pStyle w:val="Header1"/>
      </w:pPr>
      <w:r>
        <w:rPr>
          <w:rFonts w:eastAsia="Malgun Gothic"/>
        </w:rPr>
        <w:t>2. System Architecture</w:t>
      </w:r>
    </w:p>
    <w:p>
      <w:pPr>
        <w:pStyle w:val="Body"/>
      </w:pPr>
      <w:r>
        <w:rPr>
          <w:rFonts w:eastAsia="Malgun Gothic"/>
        </w:rPr>
        <w:t>The system follows a three-tier layered architecture: a React 19 SPA served by an unprivileged nginx container; a single FastAPI app internally split into Controller, Service, and Repository layers with the forecasting/optimization core isolated as pure, dependency-free code; and a data tier of PostgreSQL (Cloud SQL) in production or embedded SQLite for the demo.</w:t>
      </w:r>
    </w:p>
    <w:p>
      <w:r>
        <w:drawing>
          <wp:inline xmlns:a="http://schemas.openxmlformats.org/drawingml/2006/main" xmlns:pic="http://schemas.openxmlformats.org/drawingml/2006/picture">
            <wp:extent cx="5852160" cy="4213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1. Layered system architecture (official OSS brand logos).</w:t>
      </w:r>
    </w:p>
    <w:p>
      <w:pPr>
        <w:pStyle w:val="Header2"/>
      </w:pPr>
      <w:r>
        <w:rPr>
          <w:rFonts w:eastAsia="Malgun Gothic"/>
        </w:rPr>
        <w:t>2.1. How it runs (operational architecture)</w:t>
      </w:r>
    </w:p>
    <w:p>
      <w:pPr>
        <w:pStyle w:val="Body"/>
      </w:pPr>
      <w:r>
        <w:rPr>
          <w:rFonts w:eastAsia="Malgun Gothic"/>
        </w:rPr>
        <w:t>MetricLens runs GCP-natively and serverless. Front and back ends are built into container images, pushed to Artifact Registry, and deployed to Cloud Run (scaling to zero when idle). A Cloud Build pipeline runs lint -&gt; test -&gt; build -&gt; deploy -&gt; health check. Using its runtime service account, the backend reads labelled real-instance CPU (agentless) and memory (Ops Agent) from Cloud Monitoring, and changes real machine types via the Compute Engine API (stop -&gt; setMachineType -&gt; start). Secrets come from Secret Manager, never hard-coded.</w:t>
      </w:r>
    </w:p>
    <w:p>
      <w:r>
        <w:drawing>
          <wp:inline xmlns:a="http://schemas.openxmlformats.org/drawingml/2006/main" xmlns:pic="http://schemas.openxmlformats.org/drawingml/2006/picture">
            <wp:extent cx="5852160" cy="3080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2. Runtime &amp; CI/CD operation: Cloud Build -&gt; Cloud Run, Cloud Monitoring ingest + Compute Engine resize.</w:t>
      </w:r>
    </w:p>
    <w:p>
      <w:pPr>
        <w:pStyle w:val="Header1"/>
      </w:pPr>
      <w:r>
        <w:rPr>
          <w:rFonts w:eastAsia="Malgun Gothic"/>
        </w:rPr>
        <w:t>3. Lightweight Forecasting Engine</w:t>
      </w:r>
    </w:p>
    <w:p>
      <w:r>
        <w:drawing>
          <wp:inline xmlns:a="http://schemas.openxmlformats.org/drawingml/2006/main" xmlns:pic="http://schemas.openxmlformats.org/drawingml/2006/picture">
            <wp:extent cx="6035040" cy="2215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15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3. The MetricLens method: telemetry -&gt; decomposition+AR forecast (95% interval) -&gt; p95 peak -&gt; integer program -&gt; machine type -&gt; resize.</w:t>
      </w:r>
    </w:p>
    <w:p>
      <w:pPr>
        <w:pStyle w:val="Header2"/>
      </w:pPr>
      <w:r>
        <w:rPr>
          <w:rFonts w:eastAsia="Malgun Gothic"/>
        </w:rPr>
        <w:t>3.1. Decomposition and AR residual correction</w:t>
      </w:r>
    </w:p>
    <w:p>
      <w:pPr>
        <w:pStyle w:val="Body"/>
      </w:pPr>
      <w:r>
        <w:rPr>
          <w:rFonts w:eastAsia="Malgun Gothic"/>
        </w:rPr>
        <w:t>The series is modelled as trend + seasonal + residual. Trend is fitted by least squares over per-period block means, so averaging a full season cancels the periodic component and it cannot leak into the slope; seasonal indices are the mean detrended value per phase, re-centred to sum to zero. Real CPU is strongly autocorrelated (measured lag-1 0.5-0.9), so a damped AR(1) residual correction is added: y_hat = (trend + seasonal) + rho^h * (last actual - last fitted), where rho is the residuals' lag-1 autocorrelation and h the horizon. This term makes the model beat both baselines.</w:t>
      </w:r>
    </w:p>
    <w:p>
      <w:pPr>
        <w:pStyle w:val="Header2"/>
      </w:pPr>
      <w:r>
        <w:rPr>
          <w:rFonts w:eastAsia="Malgun Gothic"/>
        </w:rPr>
        <w:t>3.2. Point forecast and 95% prediction interval</w:t>
      </w:r>
    </w:p>
    <w:p>
      <w:pPr>
        <w:pStyle w:val="Body"/>
      </w:pPr>
      <w:r>
        <w:rPr>
          <w:rFonts w:eastAsia="Malgun Gothic"/>
        </w:rPr>
        <w:t>Each forecast has (i) a point estimate and (ii) a 95% prediction interval - the range the actual future value should fall in with 95% probability. The interval is sized from out-of-sample one-step backtest error (RMSE): [y_hat - 1.96*RMSE, y_hat + 1.96*RMSE], so uncertainty is not understated on short series. Measured coverage (PICP) is 0.93-0.98 versus the nominal 0.95, so the interval is well-calibrated (Figure 7). Unlike a black box, exposing 'forecast X% +/- range' makes risk legible (white-box). The engine uses only the Python standard library.</w:t>
      </w:r>
    </w:p>
    <w:p>
      <w:pPr>
        <w:pStyle w:val="Header1"/>
      </w:pPr>
      <w:r>
        <w:rPr>
          <w:rFonts w:eastAsia="Malgun Gothic"/>
        </w:rPr>
        <w:t>4. Integer-Programming Resizing and Real Application</w:t>
      </w:r>
    </w:p>
    <w:p>
      <w:pPr>
        <w:pStyle w:val="Header2"/>
      </w:pPr>
      <w:r>
        <w:rPr>
          <w:rFonts w:eastAsia="Malgun Gothic"/>
        </w:rPr>
        <w:t>4.1. Robust peak (p95) and the headroom constraint</w:t>
      </w:r>
    </w:p>
    <w:p>
      <w:pPr>
        <w:pStyle w:val="Body"/>
      </w:pPr>
      <w:r>
        <w:rPr>
          <w:rFonts w:eastAsia="Malgun Gothic"/>
        </w:rPr>
        <w:t>For sizing, the 'peak' is the 95th percentile, not the maximum. The maximum is vulnerable to a single transient spike that would force permanent over-provisioning; p95 discards the top ~5% so rare spikes do not drive sizing - a robust peak. Conversely, frequently recurring load (e.g., a daily batch spike) exceeds the 5% threshold and is included in p95, so that host is correctly held (the bursty demo host stays unchanged).</w:t>
      </w:r>
    </w:p>
    <w:p>
      <w:pPr>
        <w:pStyle w:val="Body"/>
      </w:pPr>
      <w:r>
        <w:rPr>
          <w:rFonts w:eastAsia="Malgun Gothic"/>
        </w:rPr>
        <w:t>The engine picks the smallest integer allocation keeping the robust-peak utilisation under target while preserving a margin: p95_peak * safety_margin &lt;= target_utilisation * allocation. safety_margin (e.g. 1.2) absorbs forecast error; target_utilisation (e.g. 0.65) is the steady-state ceiling. The bounded space (vCPU in [1, current], memory in 256 MB blocks) is solved by exact enumeration; vCPU and memory are optimised independently.</w:t>
      </w:r>
    </w:p>
    <w:p>
      <w:pPr>
        <w:pStyle w:val="Header2"/>
      </w:pPr>
      <w:r>
        <w:rPr>
          <w:rFonts w:eastAsia="Malgun Gothic"/>
        </w:rPr>
        <w:t>4.2. GCP machine-type mapping and budget-guarded real resize</w:t>
      </w:r>
    </w:p>
    <w:p>
      <w:pPr>
        <w:pStyle w:val="Body"/>
      </w:pPr>
      <w:r>
        <w:rPr>
          <w:rFonts w:eastAsia="Malgun Gothic"/>
        </w:rPr>
        <w:t>Abstract (vcpu, memory) recommendations snap to predefined GCP instances (E2/N2/C2/C3). Real GCE hosts are physically resized via the Compute API, but a machine type whose monthly cost exceeds the budget (e.g. 300,000 KRW/month) is rejected, and protected instances (e.g. the work machine) are excluded.</w:t>
      </w:r>
    </w:p>
    <w:p>
      <w:pPr>
        <w:pStyle w:val="Header1"/>
      </w:pPr>
      <w:r>
        <w:rPr>
          <w:rFonts w:eastAsia="Malgun Gothic"/>
        </w:rPr>
        <w:t>5. Implementation and Deployment</w:t>
      </w:r>
    </w:p>
    <w:p>
      <w:pPr>
        <w:pStyle w:val="Body"/>
      </w:pPr>
      <w:r>
        <w:rPr>
          <w:rFonts w:eastAsia="Malgun Gothic"/>
        </w:rPr>
        <w:t>The backend is FastAPI with SQLAlchemy 2.0 async; the frontend is React 19 built with Vite and served by nginx; both run as non-root containers on Cloud Run. The dashboard's top menu offers Dashboard / History (full metric tables + activity log) / Test Scenarios (forecast, optimise, real GCP sync, real resize, model evaluation). Every forecast and resize is persisted to an audit-log table. The real fleet runs diurnal load generators so Cloud Monitoring records a representative live signal.</w:t>
      </w:r>
    </w:p>
    <w:p>
      <w:pPr>
        <w:pStyle w:val="Body"/>
      </w:pPr>
      <w:r>
        <w:rPr>
          <w:rFonts w:eastAsia="Malgun Gothic"/>
        </w:rPr>
        <w:t>Live dashboard: https://metriclens-frontend-f2ei3uwvfq-uc.a.run.app</w:t>
      </w:r>
    </w:p>
    <w:p>
      <w:pPr>
        <w:pStyle w:val="Body"/>
      </w:pPr>
      <w:r>
        <w:rPr>
          <w:rFonts w:eastAsia="Malgun Gothic"/>
        </w:rPr>
        <w:t>Live API (Swagger /docs): https://metriclens-backend-f2ei3uwvfq-uc.a.run.app</w:t>
      </w:r>
    </w:p>
    <w:p>
      <w:pPr>
        <w:pStyle w:val="Header1"/>
      </w:pPr>
      <w:r>
        <w:rPr>
          <w:rFonts w:eastAsia="Malgun Gothic"/>
        </w:rPr>
        <w:t>6. Statistical Representativeness of the Test Data</w:t>
      </w:r>
    </w:p>
    <w:p>
      <w:pPr>
        <w:pStyle w:val="Body"/>
      </w:pPr>
      <w:r>
        <w:rPr>
          <w:rFonts w:eastAsia="Malgun Gothic"/>
        </w:rPr>
        <w:t>Demo/seed metrics are grounded in public traces: Azure Resource Central (SOSP'17; 60% of VMs average &lt; 20% CPU; interactive vs delay-insensitive), Barroso &amp; Holzle (servers mostly 10-50%), Alibaba 2018 (batch ~29.3%, service ~7.4%). Six archetypes are generated over 14 days hourly, not as a repeating curve but with AR(1) autocorrelation, day-to-day amplitude variation, a slow trend, heteroscedastic noise, and rare anomalies. The generated coefficient of variation is 0.28-1.11 and lag-1 autocorrelation 0.5-0.9, matching real distributions (versus ~0 for uniform synthetic data).</w:t>
      </w:r>
    </w:p>
    <w:p>
      <w:pPr>
        <w:pStyle w:val="Header1"/>
      </w:pPr>
      <w:r>
        <w:rPr>
          <w:rFonts w:eastAsia="Malgun Gothic"/>
        </w:rPr>
        <w:t>7. Model Evaluation (Paper-Level)</w:t>
      </w:r>
    </w:p>
    <w:p>
      <w:pPr>
        <w:pStyle w:val="Body"/>
      </w:pPr>
      <w:r>
        <w:rPr>
          <w:rFonts w:eastAsia="Malgun Gothic"/>
        </w:rPr>
        <w:t>A single MAPE on uniform data cannot prove validity. The model is compared against two standard baselines (naive = last value, seasonal-naive = value one period ago) on an expanding-window one-step backtest, with academic statistics MASE (Hyndman &amp; Koehler 2006), sMAPE, RMSE; interval calibration via PICP (coverage) and MPIW (width); and the Diebold-Mariano test (1995) for statistical significance.</w:t>
      </w:r>
    </w:p>
    <w:p>
      <w:pPr>
        <w:pStyle w:val="Body"/>
      </w:pPr>
      <w:r>
        <w:rPr>
          <w:rFonts w:eastAsia="Malgun Gothic"/>
        </w:rPr>
        <w:t>Results: the model beats seasonal-naive (RMSE) on all 6 archetypes, MASE &lt; 1 on 5/6, and is significantly better (Diebold-Mariano p&lt;0.05) on 4/6. Interval coverage is 0.93-0.98 (nominal 0.95). For flat/idle workloads the last-value baseline is strong, so significance is lower there - an honest property of those signals.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ecast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4. One-step forecast vs actual with the 95% interval.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or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5. Forecast error (RMSE): model vs baselines (lower is better).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6. MASE - below 1 beats seasonal-naive.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7. 95% prediction-interval calibration (PICP) vs nominal 0.95.</w:t>
      </w:r>
    </w:p>
    <w:p>
      <w:r>
        <w:drawing>
          <wp:inline xmlns:a="http://schemas.openxmlformats.org/drawingml/2006/main" xmlns:pic="http://schemas.openxmlformats.org/drawingml/2006/picture">
            <wp:extent cx="5486400" cy="2468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idual_ac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eastAsia="Malgun Gothic"/>
        </w:rPr>
        <w:t>Figure 8. Residual autocorrelation - within the white-noise band = good fit.</w:t>
      </w:r>
    </w:p>
    <w:p>
      <w:pPr>
        <w:pStyle w:val="Header1"/>
      </w:pPr>
      <w:r>
        <w:rPr>
          <w:rFonts w:eastAsia="Malgun Gothic"/>
        </w:rPr>
        <w:t>8. Related Work and Differentiation</w:t>
      </w:r>
    </w:p>
    <w:p>
      <w:pPr>
        <w:pStyle w:val="Body"/>
      </w:pPr>
      <w:r>
        <w:rPr>
          <w:rFonts w:eastAsia="Malgun Gothic"/>
        </w:rPr>
        <w:t>The market splits into (a) Kubernetes/cloud SaaS optimizers (CAST AI, Sedai, StormForge - telemetry egress, K8s-assumed), (b) cloud-provider recommenders (AWS Compute Optimizer, Azure Advisor - single cloud, short windows), and (c) on-prem monitors (SolarWinds, ManageEngine - threshold-based descriptive reporting). MetricLens occupies the gap: (1) air-gapped and self-contained, (2) GPU-free and lightweight, (3) prescriptive SLO-constrained integer programming, (4) white-box explainability, (5) infrastructure-agnostic (generic VM/bare-metal).</w:t>
      </w:r>
    </w:p>
    <w:p>
      <w:pPr>
        <w:pStyle w:val="Header1"/>
      </w:pPr>
      <w:r>
        <w:rPr>
          <w:rFonts w:eastAsia="Malgun Gothic"/>
        </w:rPr>
        <w:t>9. Conclusion</w:t>
      </w:r>
    </w:p>
    <w:p>
      <w:pPr>
        <w:pStyle w:val="Body"/>
      </w:pPr>
      <w:r>
        <w:rPr>
          <w:rFonts w:eastAsia="Malgun Gothic"/>
        </w:rPr>
        <w:t>MetricLens AI delivers accurate CPU-only forecasting and exact integer-programming resizing as a dependency-free, cloud-native service, monitors and resizes real GCP instances, and proves model validity with a paper-level evaluation (baselines, MASE, Diebold-Mariano, interval calibration). By turning passive telemetry into quantitative, SLO-aware sizing guidance, it offers a practical path to cutting infrastructure cost and energy waste on-premise.</w:t>
      </w:r>
    </w:p>
    <w:sectPr w:rsidR="00E75AE5" w:rsidSect="004B6ABE">
      <w:type w:val="continuous"/>
      <w:pgSz w:w="12240" w:h="15840"/>
      <w:pgMar w:top="1440" w:right="1080" w:bottom="1440" w:left="1080" w:header="720" w:footer="720" w:gutter="0"/>
      <w:cols w:num="2" w:space="4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SortMethod w:val="0000"/>
  <w:defaultTabStop w:val="720"/>
  <w:autoHyphenation/>
  <w:consecutiveHyphenLimit w:val="4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F0"/>
    <w:rsid w:val="0042101B"/>
    <w:rsid w:val="004373F7"/>
    <w:rsid w:val="004B6ABE"/>
    <w:rsid w:val="00912855"/>
    <w:rsid w:val="00B02647"/>
    <w:rsid w:val="00C411B1"/>
    <w:rsid w:val="00D261DD"/>
    <w:rsid w:val="00E75AE5"/>
    <w:rsid w:val="00F973F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96514"/>
  <w14:defaultImageDpi w14:val="0"/>
  <w15:chartTrackingRefBased/>
  <w15:docId w15:val="{48D4D351-DAAB-4C49-A323-C2EA0047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EastAsia" w:hAnsi="Times" w:cs="Time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1">
    <w:name w:val="Header 1"/>
    <w:basedOn w:val="a"/>
    <w:rsid w:val="00912855"/>
    <w:pPr>
      <w:spacing w:after="40" w:line="240" w:lineRule="exact"/>
      <w:jc w:val="both"/>
    </w:pPr>
    <w:rPr>
      <w:b/>
    </w:rPr>
  </w:style>
  <w:style w:type="paragraph" w:customStyle="1" w:styleId="Header2">
    <w:name w:val="Header 2"/>
    <w:basedOn w:val="Header1"/>
    <w:rsid w:val="00E75AE5"/>
    <w:rPr>
      <w:sz w:val="18"/>
    </w:rPr>
  </w:style>
  <w:style w:type="paragraph" w:customStyle="1" w:styleId="Body">
    <w:name w:val="Body"/>
    <w:basedOn w:val="a"/>
    <w:rsid w:val="00D261DD"/>
    <w:pPr>
      <w:spacing w:after="120" w:line="240" w:lineRule="exact"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for USENIX Conference Paper: Sample First Page</vt:lpstr>
    </vt:vector>
  </TitlesOfParts>
  <Company>usenix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for USENIX Conference Paper: Sample First Page</dc:title>
  <dc:subject/>
  <dc:creator>Eileen Cohen</dc:creator>
  <cp:keywords/>
  <dc:description/>
  <cp:lastModifiedBy>이용원</cp:lastModifiedBy>
  <cp:revision>2</cp:revision>
  <cp:lastPrinted>1997-04-02T01:36:00Z</cp:lastPrinted>
  <dcterms:created xsi:type="dcterms:W3CDTF">2026-06-03T04:53:00Z</dcterms:created>
  <dcterms:modified xsi:type="dcterms:W3CDTF">2026-06-03T04:53:00Z</dcterms:modified>
</cp:coreProperties>
</file>