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51058" w14:textId="77777777" w:rsidR="00F973F0" w:rsidRDefault="00F973F0">
      <w:pPr>
        <w:jc w:val="center"/>
        <w:rPr>
          <w:color w:val="000000"/>
        </w:rPr>
      </w:pPr>
      <w:r>
        <w:rPr>
          <w:b/>
          <w:color w:val="000000"/>
          <w:sz w:val="28"/>
        </w:rPr>
        <w:t>MetricLens AI: Lightweight Time-Series Forecasting and Integer-Programming Resizing for On-Premise Server Optimization</w:t>
      </w:r>
    </w:p>
    <w:p w14:paraId="34E0BC10" w14:textId="77777777" w:rsidR="00F973F0" w:rsidRDefault="00F973F0">
      <w:pPr>
        <w:jc w:val="center"/>
        <w:rPr>
          <w:color w:val="000000"/>
        </w:rPr>
      </w:pPr>
      <w:r>
        <w:t>이용원 (Team Lead), 서한녕, 송심우</w:t>
      </w:r>
    </w:p>
    <w:p w14:paraId="2C9B7F37" w14:textId="77777777" w:rsidR="00F973F0" w:rsidRDefault="00F973F0">
      <w:pPr>
        <w:jc w:val="center"/>
        <w:rPr>
          <w:i/>
          <w:color w:val="000000"/>
        </w:rPr>
      </w:pPr>
      <w:r>
        <w:rPr>
          <w:color w:val="000000"/>
        </w:rPr>
        <w:t>Team 구글링 — googai_congress</w:t>
      </w:r>
      <w:r w:rsidR="00E75AE5">
        <w:rPr>
          <w:color w:val="000000"/>
        </w:rPr>
      </w:r>
      <w:r>
        <w:rPr>
          <w:i/>
          <w:color w:val="000000"/>
        </w:rPr>
      </w:r>
      <w:r w:rsidR="00E75AE5">
        <w:rPr>
          <w:i/>
          <w:color w:val="000000"/>
        </w:rPr>
      </w:r>
      <w:r>
        <w:rPr>
          <w:color w:val="000000"/>
        </w:rPr>
      </w:r>
      <w:r w:rsidR="00E75AE5">
        <w:rPr>
          <w:color w:val="000000"/>
        </w:rPr>
      </w:r>
      <w:r>
        <w:rPr>
          <w:i/>
          <w:color w:val="000000"/>
        </w:rPr>
      </w:r>
    </w:p>
    <w:p>
      <w:pPr>
        <w:pStyle w:val="Header1"/>
      </w:pPr>
      <w:r>
        <w:t>Abstract</w:t>
      </w:r>
    </w:p>
    <w:p>
      <w:pPr>
        <w:pStyle w:val="Body"/>
      </w:pPr>
      <w:r>
        <w:t>Over-provisioning dominates on-premise infrastructure: operators allocate far more capacity than workloads require, wasting OPEX and energy. MetricLens AI is a self-contained web platform that ingests multi-dimensional server metrics (CPU, memory, network I/O), forecasts future load with a lightweight CPU-only time-series model, and derives SLO-aware resizing recommendations via integer programming. The forecaster performs additive seasonal-trend decomposition with a block-mean trend estimator that suppresses seasonal leakage, and sizes its prediction interval from out-of-sample backtest error. The resizing engine solves an exact integer program over a bounded search space. The system is deployed GCP-natively on Cloud Run via a Cloud Build CI/CD pipeline. On a representative seven-day demo fleet the forecaster holds MAPE within the 15% target while the optimizer identifies up to 40% reclaimable capacity at 99.9% SLO confidence.</w:t>
      </w:r>
    </w:p>
    <w:p>
      <w:pPr>
        <w:pStyle w:val="Header1"/>
      </w:pPr>
      <w:r>
        <w:t>1. Introduction</w:t>
      </w:r>
    </w:p>
    <w:p>
      <w:pPr>
        <w:pStyle w:val="Body"/>
      </w:pPr>
      <w:r>
        <w:t>Conservative capacity planning leaves servers chronically idle. Public-cloud optimizers are unavailable in air-gapped or regulated on-premise environments, so operators lack data-driven sizing tools. MetricLens AI targets this gap: an external-dependency-free, GPU-free system that turns historical telemetry into quantitative right-sizing guidance such as "this host peaks at 26% of 16 vCPU; halving it preserves 99.9% availability."</w:t>
      </w:r>
    </w:p>
    <w:p>
      <w:pPr>
        <w:pStyle w:val="Body"/>
      </w:pPr>
      <w:r>
        <w:t>The contributions are: (i) a standard-library seasonal-trend forecaster whose block-mean trend estimator avoids the seasonal leakage of naive least squares; (ii) an exact integer-programming resizing engine with a percentile-peak safety statistic; (iii) a layered FastAPI service and React/ECharts dashboard; and (iv) a reproducible Cloud Build to Cloud Run deployment.</w:t>
      </w:r>
    </w:p>
    <w:p>
      <w:pPr>
        <w:pStyle w:val="Header1"/>
      </w:pPr>
      <w:r>
        <w:t>2. System Architecture</w:t>
      </w:r>
    </w:p>
    <w:p>
      <w:pPr>
        <w:pStyle w:val="Body"/>
      </w:pPr>
      <w:r>
        <w:t>The system follows a three-tier layered architecture. The presentation tier is a React 19 single-page application rendering large time series with Canvas-based ECharts, served by an unprivileged nginx container. The business tier is a single FastAPI application internally separated into Controller, Service, and Repository layers, with the forecasting and optimization algorithms isolated in a pure, dependency-free core. The data tier is PostgreSQL in production (Cloud SQL) and an embedded SQLite database for the self-contained demo profile.</w:t>
      </w:r>
    </w:p>
    <w:p>
      <w:pPr>
        <w:pStyle w:val="Header2"/>
      </w:pPr>
      <w:r>
        <w:t>2.1. Layered separation</w:t>
      </w:r>
    </w:p>
    <w:p>
      <w:pPr>
        <w:pStyle w:val="Body"/>
      </w:pPr>
      <w:r>
        <w:t>Dependencies flow strictly downward. Controllers validate request and response schemas and map domain errors to HTTP status codes. Services own domain rules — identifier minting, metric selection, horizon conversion, and peak computation. Repositories are the only layer that issues SQL. Because the core depends on no other layer, it is unit tested without a database.</w:t>
      </w:r>
    </w:p>
    <w:p>
      <w:pPr>
        <w:pStyle w:val="Header1"/>
      </w:pPr>
      <w:r>
        <w:t>3. Lightweight Forecasting Engine</w:t>
      </w:r>
    </w:p>
    <w:p>
      <w:pPr>
        <w:pStyle w:val="Body"/>
      </w:pPr>
      <w:r>
        <w:t>The forecaster models a series as the additive sum of trend, seasonal, and residual components. The trend is estimated by ordinary least squares over per-period block means; averaging across a full seasonal period cancels the periodic component, so it cannot leak into the slope — the classical decomposition correction for the bias of global least squares on periodic data. Seasonal indices are the mean detrended value per phase, re-centred to sum to zero.</w:t>
      </w:r>
    </w:p>
    <w:p>
      <w:pPr>
        <w:pStyle w:val="Body"/>
      </w:pPr>
      <w:r>
        <w:t>Forecasts extrapolate trend plus seasonal index at the target horizon. The prediction interval is sized from out-of-sample one-step backtest error (RMSE) rather than in-sample residuals, which would understate uncertainty on short, over-parameterised series. Model quality is reported as MAPE with a denominator floor, the standard robustness variant that prevents near-idle samples from inflating the percentage. The engine uses only the Python standard library, carrying no native dependency and a negligible container footprint.</w:t>
      </w:r>
    </w:p>
    <w:p>
      <w:pPr>
        <w:pStyle w:val="Header1"/>
      </w:pPr>
      <w:r>
        <w:t>4. Integer-Programming Resizing</w:t>
      </w:r>
    </w:p>
    <w:p>
      <w:pPr>
        <w:pStyle w:val="Body"/>
      </w:pPr>
      <w:r>
        <w:t>Given current allocation and forecasted peak load, the engine selects the smallest integer allocation that keeps projected peak utilisation at or below a target while preserving a safety margin for the SLO: peak_load × margin ≤ target_utilisation × allocation. The search space is small and bounded (vCPU in [1, current]; memory in 256 MB blocks), so the optimum is found by exhaustive enumeration — an exact solver requiring no external dependency. A 95th-percentile peak statistic prevents a single transient spike from forcing permanent over-provisioning.</w:t>
      </w:r>
    </w:p>
    <w:p>
      <w:pPr>
        <w:pStyle w:val="Header1"/>
      </w:pPr>
      <w:r>
        <w:t>5. Implementation and Deployment</w:t>
      </w:r>
    </w:p>
    <w:p>
      <w:pPr>
        <w:pStyle w:val="Body"/>
      </w:pPr>
      <w:r>
        <w:t>The backend is FastAPI with SQLAlchemy 2.0 async and asyncpg; the frontend is React 19 built with Vite and served by nginx. Both run as non-root containers honouring Cloud Run's injected port. A Cloud Build pipeline runs lint and tests, builds and pushes both images to Artifact Registry, deploys to Cloud Run with a rolling update, grants public invoker access, and performs a post-deploy health check, failing the build if the service is unhealthy. Secrets are injected at runtime from Secret Manager and are never committed.</w:t>
      </w:r>
    </w:p>
    <w:p>
      <w:pPr>
        <w:pStyle w:val="Header2"/>
      </w:pPr>
      <w:r>
        <w:t>5.1. Interactive resizing and audit trail</w:t>
      </w:r>
    </w:p>
    <w:p>
      <w:pPr>
        <w:pStyle w:val="Body"/>
      </w:pPr>
      <w:r>
        <w:t>The dashboard exposes the predict-resize loop directly: operators run a forecast, then halve, double, or apply the AI-recommended allocation. Each action is a real, persisted change to the host record and is written to an audit-log table, surfaced as a live activity feed showing exactly how much capacity was reclaimed (e.g. "Downsized web-prod-01: 16-&gt;8 vCPU, 32-&gt;16 GB, +50% capacity"). A radial gauge recomputes projected peak utilisation in real time as the allocation changes, making the cost/headroom trade-off immediately legible.</w:t>
      </w:r>
    </w:p>
    <w:p>
      <w:pPr>
        <w:pStyle w:val="Body"/>
      </w:pPr>
      <w:r>
        <w:t>Live dashboard: https://metriclens-frontend-f2ei3uwvfq-uc.a.run.app</w:t>
      </w:r>
    </w:p>
    <w:p>
      <w:pPr>
        <w:pStyle w:val="Body"/>
      </w:pPr>
      <w:r>
        <w:t>Live API (Swagger at /docs): https://metriclens-backend-f2ei3uwvfq-uc.a.run.app</w:t>
      </w:r>
    </w:p>
    <w:p>
      <w:r>
        <w:drawing>
          <wp:inline xmlns:a="http://schemas.openxmlformats.org/drawingml/2006/main" xmlns:pic="http://schemas.openxmlformats.org/drawingml/2006/picture">
            <wp:extent cx="3017520" cy="4005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400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er1"/>
      </w:pPr>
      <w:r>
        <w:t>6. Evaluation</w:t>
      </w:r>
    </w:p>
    <w:p>
      <w:pPr>
        <w:pStyle w:val="Body"/>
      </w:pPr>
      <w:r>
        <w:t>The quality gate runs ruff static analysis and a 27-case pytest suite (8 forecaster, 9 optimizer, 10 API), all passing. Unit tests follow boundary-value analysis and equivalence partitioning; integration tests exercise the full controller-service-core path against in-memory repositories, requiring no live database. On a representative seven-day demo fleet of three hosts, forecast MAPE is 4–7% — within the 15% target — and the optimizer recommends, for example, a 16→8 vCPU reduction (40% saving) on an over-provisioned production host while holding a right-sized host unchanged, all at 99.9% SLO confidence.</w:t>
      </w:r>
    </w:p>
    <w:p>
      <w:pPr>
        <w:pStyle w:val="Header1"/>
      </w:pPr>
      <w:r>
        <w:t>7. Related Work and Differentiation</w:t>
      </w:r>
    </w:p>
    <w:p>
      <w:pPr>
        <w:pStyle w:val="Body"/>
      </w:pPr>
      <w:r>
        <w:t>The optimisation market splits into three groups. (a) Kubernetes/cloud SaaS optimizers — CAST AI, Sedai, StormForge, PerfectScale, Kubecost — autonomously tune pod/node requests with per-workload ML, but ship telemetry to a vendor cloud and assume Kubernetes on a public cloud. (b) Cloud-provider recommenders — AWS Compute Optimizer, Azure Advisor, Google Active Assist, IBM Turbonomic — are tied to a single provider, cover limited instance families, and rely on short (~14-day) windows that weaken on seasonal or bursty load. (c) On-premise capacity monitors — SolarWinds, ManageEngine, IDERA — run on-prem but are largely descriptive, flagging under/over-utilised hosts via thresholds or linear regression without solving a constrained optimisation.</w:t>
      </w:r>
    </w:p>
    <w:p>
      <w:pPr>
        <w:pStyle w:val="Body"/>
      </w:pPr>
      <w:r>
        <w:t>MetricLens occupies the gap between them. It is (1) air-gapped and self-contained — no external API, SaaS callback, or telemetry egress, so it suits regulated, network-isolated estates (defense, finance, public sector under CUI/GDPR/DORA) that SaaS optimizers structurally cannot serve; (2) GPU-free and lightweight, running its standard-library forecaster on commodity CPUs; (3) prescriptive, solving an exact SLO-constrained integer program rather than merely reporting idleness; (4) a white-box — MAPE, prediction intervals, and the headroom inequality make every decision auditable; and (5) infrastructure-agnostic, modelling generic VM/bare-metal hosts rather than Kubernetes pods.</w:t>
      </w:r>
    </w:p>
    <w:p>
      <w:pPr>
        <w:pStyle w:val="Header1"/>
      </w:pPr>
      <w:r>
        <w:t>8. Conclusion</w:t>
      </w:r>
    </w:p>
    <w:p>
      <w:pPr>
        <w:pStyle w:val="Body"/>
      </w:pPr>
      <w:r>
        <w:t>MetricLens AI demonstrates that accurate, CPU-only load forecasting and exact integer-programming resizing can be delivered as a dependency-free, cloud-native service. By converting passive telemetry into quantitative, SLO-aware sizing guidance, it shifts capacity management from reactive to proactive and provides a practical path to reducing infrastructure cost and energy waste in on-premise environments.</w:t>
      </w:r>
    </w:p>
    <w:sectPr w:rsidR="00E75AE5" w:rsidSect="004B6ABE">
      <w:type w:val="continuous"/>
      <w:pgSz w:w="12240" w:h="15840"/>
      <w:pgMar w:top="1440" w:right="1080" w:bottom="1440" w:left="1080" w:header="720" w:footer="720" w:gutter="0"/>
      <w:cols w:num="2" w:space="475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">
    <w:altName w:val="Times New Roman"/>
    <w:panose1 w:val="020B0604020202020204"/>
    <w:charset w:val="00"/>
    <w:family w:val="auto"/>
    <w:pitch w:val="variable"/>
    <w:sig w:usb0="E00002FF" w:usb1="5000205A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embedSystemFonts/>
  <w:proofState w:spelling="clean" w:grammar="clean"/>
  <w:stylePaneSortMethod w:val="0000"/>
  <w:defaultTabStop w:val="720"/>
  <w:autoHyphenation/>
  <w:consecutiveHyphenLimit w:val="4"/>
  <w:displayHorizontalDrawingGridEvery w:val="0"/>
  <w:displayVerticalDrawingGridEvery w:val="0"/>
  <w:doNotUseMarginsForDrawingGridOrigin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3F0"/>
    <w:rsid w:val="0042101B"/>
    <w:rsid w:val="004373F7"/>
    <w:rsid w:val="004B6ABE"/>
    <w:rsid w:val="00912855"/>
    <w:rsid w:val="00B02647"/>
    <w:rsid w:val="00C411B1"/>
    <w:rsid w:val="00D261DD"/>
    <w:rsid w:val="00E75AE5"/>
    <w:rsid w:val="00F973F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FD96514"/>
  <w14:defaultImageDpi w14:val="0"/>
  <w15:chartTrackingRefBased/>
  <w15:docId w15:val="{48D4D351-DAAB-4C49-A323-C2EA0047C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Theme="minorEastAsia" w:hAnsi="Times" w:cs="Times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semiHidden="1" w:uiPriority="37" w:unhideWhenUsed="1"/>
    <w:lsdException w:name="Grid Table 3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cs="Times New Roman"/>
      <w:sz w:val="24"/>
      <w:lang w:eastAsia="en-US"/>
    </w:rPr>
  </w:style>
  <w:style w:type="character" w:default="1" w:styleId="a0">
    <w:name w:val="Default Paragraph Font"/>
    <w:uiPriority w:val="99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1">
    <w:name w:val="Header 1"/>
    <w:basedOn w:val="a"/>
    <w:rsid w:val="00912855"/>
    <w:pPr>
      <w:spacing w:after="40" w:line="240" w:lineRule="exact"/>
      <w:jc w:val="both"/>
    </w:pPr>
    <w:rPr>
      <w:b/>
    </w:rPr>
  </w:style>
  <w:style w:type="paragraph" w:customStyle="1" w:styleId="Header2">
    <w:name w:val="Header 2"/>
    <w:basedOn w:val="Header1"/>
    <w:rsid w:val="00E75AE5"/>
    <w:rPr>
      <w:sz w:val="18"/>
    </w:rPr>
  </w:style>
  <w:style w:type="paragraph" w:customStyle="1" w:styleId="Body">
    <w:name w:val="Body"/>
    <w:basedOn w:val="a"/>
    <w:rsid w:val="00D261DD"/>
    <w:pPr>
      <w:spacing w:after="120" w:line="240" w:lineRule="exact"/>
      <w:jc w:val="both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  <w:pixelsPerInch w:val="72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 for USENIX Conference Paper: Sample First Page</vt:lpstr>
    </vt:vector>
  </TitlesOfParts>
  <Company>usenix</Company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for USENIX Conference Paper: Sample First Page</dc:title>
  <dc:subject/>
  <dc:creator>Eileen Cohen</dc:creator>
  <cp:keywords/>
  <dc:description/>
  <cp:lastModifiedBy>이용원</cp:lastModifiedBy>
  <cp:revision>2</cp:revision>
  <cp:lastPrinted>1997-04-02T01:36:00Z</cp:lastPrinted>
  <dcterms:created xsi:type="dcterms:W3CDTF">2026-06-03T04:53:00Z</dcterms:created>
  <dcterms:modified xsi:type="dcterms:W3CDTF">2026-06-03T04:53:00Z</dcterms:modified>
</cp:coreProperties>
</file>