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D51058" w14:textId="77777777" w:rsidR="00F973F0" w:rsidRDefault="00F973F0">
      <w:pPr>
        <w:jc w:val="center"/>
        <w:rPr>
          <w:color w:val="000000"/>
        </w:rPr>
      </w:pPr>
      <w:r>
        <w:rPr>
          <w:rFonts w:eastAsia="Malgun Gothic"/>
          <w:b/>
          <w:color w:val="000000"/>
          <w:sz w:val="28"/>
        </w:rPr>
        <w:t>MetricLens AI: 온프레미스 서버 최적화를 위한 경량 시계열 예측과 정수계획 기반 리사이징</w:t>
      </w:r>
    </w:p>
    <w:p w14:paraId="34E0BC10" w14:textId="77777777" w:rsidR="00F973F0" w:rsidRDefault="00F973F0">
      <w:pPr>
        <w:jc w:val="center"/>
        <w:rPr>
          <w:color w:val="000000"/>
        </w:rPr>
      </w:pPr>
      <w:r>
        <w:rPr>
          <w:rFonts w:eastAsia="Malgun Gothic"/>
        </w:rPr>
        <w:t>이용원 (팀장), 서한녕, 송심우</w:t>
      </w:r>
    </w:p>
    <w:p w14:paraId="2C9B7F37" w14:textId="77777777" w:rsidR="00F973F0" w:rsidRDefault="00F973F0">
      <w:pPr>
        <w:jc w:val="center"/>
        <w:rPr>
          <w:i/>
          <w:color w:val="000000"/>
        </w:rPr>
      </w:pPr>
      <w:r>
        <w:rPr>
          <w:rFonts w:eastAsia="Malgun Gothic"/>
          <w:color w:val="000000"/>
        </w:rPr>
        <w:t>Team 구글링 — googai_congress</w:t>
      </w:r>
      <w:r w:rsidR="00E75AE5">
        <w:rPr>
          <w:rFonts w:eastAsia="Malgun Gothic"/>
          <w:color w:val="000000"/>
        </w:rPr>
      </w:r>
      <w:r>
        <w:rPr>
          <w:rFonts w:eastAsia="Malgun Gothic"/>
          <w:i/>
          <w:color w:val="000000"/>
        </w:rPr>
      </w:r>
      <w:r w:rsidR="00E75AE5">
        <w:rPr>
          <w:rFonts w:eastAsia="Malgun Gothic"/>
          <w:i/>
          <w:color w:val="000000"/>
        </w:rPr>
      </w:r>
      <w:r>
        <w:rPr>
          <w:rFonts w:eastAsia="Malgun Gothic"/>
          <w:color w:val="000000"/>
        </w:rPr>
      </w:r>
      <w:r w:rsidR="00E75AE5">
        <w:rPr>
          <w:rFonts w:eastAsia="Malgun Gothic"/>
          <w:color w:val="000000"/>
        </w:rPr>
      </w:r>
      <w:r>
        <w:rPr>
          <w:rFonts w:eastAsia="Malgun Gothic"/>
          <w:i/>
          <w:color w:val="000000"/>
        </w:rPr>
      </w:r>
    </w:p>
    <w:p>
      <w:pPr>
        <w:pStyle w:val="Header1"/>
      </w:pPr>
      <w:r>
        <w:rPr>
          <w:rFonts w:eastAsia="Malgun Gothic"/>
        </w:rPr>
        <w:t>초록 (Abstract)</w:t>
      </w:r>
    </w:p>
    <w:p>
      <w:pPr>
        <w:pStyle w:val="Body"/>
      </w:pPr>
      <w:r>
        <w:rPr>
          <w:rFonts w:eastAsia="Malgun Gothic"/>
        </w:rPr>
        <w:t>온프레미스 인프라에서는 과프로비저닝이 만연하다. 운영자는 워크로드가 요구하는 것보다 훨씬 많은 자원을 할당하여 운영비(OPEX)와 전력을 낭비한다. MetricLens AI는 다차원 서버 메트릭(CPU·메모리·네트워크 I/O)을 적재하고, GPU 없이 CPU만으로 구동되는 경량 시계열 모델로 미래 부하를 예측하며, 정수 계획법으로 SLO를 보장하는 리사이징 권장안을 산출하는 자립형 웹 플랫폼이다. 예측기는 계절 누설을 억제하는 블록 평균 추세 추정기를 사용한 가산 계절-추세 분해를 수행하고, 예측 구간을 표본 외 백테스트 오차로 산정한다. 리사이징 엔진은 유계 탐색 공간에서 정확한 정수계획을 푼다. 시스템은 Cloud Build CI/CD 파이프라인을 통해 Cloud Run에 GCP 네이티브로 배포된다. 공개 트레이스에 근거한 대표 데모 플릿에서 대화형 호스트의 MAPE는 9–13%로 15% 목표를 충족하며, 최적화기는 99.9% SLO 신뢰도에서 최대 약 54%의 회수 가능 용량을 식별한다.</w:t>
      </w:r>
    </w:p>
    <w:p>
      <w:pPr>
        <w:pStyle w:val="Header1"/>
      </w:pPr>
      <w:r>
        <w:rPr>
          <w:rFonts w:eastAsia="Malgun Gothic"/>
        </w:rPr>
        <w:t>1. 서론</w:t>
      </w:r>
    </w:p>
    <w:p>
      <w:pPr>
        <w:pStyle w:val="Body"/>
      </w:pPr>
      <w:r>
        <w:rPr>
          <w:rFonts w:eastAsia="Malgun Gothic"/>
        </w:rPr>
        <w:t>보수적인 용량 산정은 서버를 만성적으로 유휴 상태로 둔다. 퍼블릭 클라우드 최적화 도구는 망분리·규제 온프레미스 환경에서 사용할 수 없어, 운영자는 데이터 기반 사이징 수단을 갖지 못한다. MetricLens AI는 이 공백을 겨냥한다: 외부 의존성이 없고 GPU가 필요 없는 시스템으로, 과거 텔레메트리를 정량적 라이트사이징 지침으로 전환한다(예: "이 호스트는 16 vCPU의 26%에서 피크를 이루므로 절반으로 줄여도 99.9% 가용성을 유지한다").</w:t>
      </w:r>
    </w:p>
    <w:p>
      <w:pPr>
        <w:pStyle w:val="Body"/>
      </w:pPr>
      <w:r>
        <w:rPr>
          <w:rFonts w:eastAsia="Malgun Gothic"/>
        </w:rPr>
        <w:t>기여는 다음과 같다: (i) 단순 최소제곱의 계절 누설을 피하는 블록 평균 추세 추정기를 갖춘 표준 라이브러리 계절-추세 예측기; (ii) 백분위 피크 안전 통계를 갖춘 정확한 정수계획 리사이징 엔진; (iii) 레이어드 FastAPI 서비스와 React/ECharts 대시보드; (iv) 재현 가능한 Cloud Build → Cloud Run 배포; (v) 공개 데이터센터 트레이스에 근거하여 통계적 대표성을 갖춘 시험 데이터.</w:t>
      </w:r>
    </w:p>
    <w:p>
      <w:pPr>
        <w:pStyle w:val="Header1"/>
      </w:pPr>
      <w:r>
        <w:rPr>
          <w:rFonts w:eastAsia="Malgun Gothic"/>
        </w:rPr>
        <w:t>2. 시스템 아키텍처</w:t>
      </w:r>
    </w:p>
    <w:p>
      <w:pPr>
        <w:pStyle w:val="Body"/>
      </w:pPr>
      <w:r>
        <w:rPr>
          <w:rFonts w:eastAsia="Malgun Gothic"/>
        </w:rPr>
        <w:t>시스템은 3계층 레이어드 아키텍처를 따른다. 표현 계층은 Canvas 기반 ECharts로 대용량 시계열을 렌더링하는 React 19 단일 페이지 애플리케이션으로, 비특권 nginx 컨테이너가 서빙한다. 업무 계층은 내부적으로 Controller·Service·Repository로 분리된 단일 FastAPI 애플리케이션이며, 예측·최적화 알고리즘은 순수하고 의존성 없는 Core에 격리된다. 데이터 계층은 프로덕션에서 PostgreSQL(Cloud SQL), 자립형 데모 프로파일에서 내장 SQLite이다.</w:t>
      </w:r>
    </w:p>
    <w:p>
      <w:r>
        <w:drawing>
          <wp:inline xmlns:a="http://schemas.openxmlformats.org/drawingml/2006/main" xmlns:pic="http://schemas.openxmlformats.org/drawingml/2006/picture">
            <wp:extent cx="3017520" cy="2293315"/>
            <wp:docPr id="1" name="Picture 1"/>
            <wp:cNvGraphicFramePr>
              <a:graphicFrameLocks noChangeAspect="1"/>
            </wp:cNvGraphicFramePr>
            <a:graphic>
              <a:graphicData uri="http://schemas.openxmlformats.org/drawingml/2006/picture">
                <pic:pic>
                  <pic:nvPicPr>
                    <pic:cNvPr id="0" name="architecture.png"/>
                    <pic:cNvPicPr/>
                  </pic:nvPicPr>
                  <pic:blipFill>
                    <a:blip r:embed="rId6"/>
                    <a:stretch>
                      <a:fillRect/>
                    </a:stretch>
                  </pic:blipFill>
                  <pic:spPr>
                    <a:xfrm>
                      <a:off x="0" y="0"/>
                      <a:ext cx="3017520" cy="2293315"/>
                    </a:xfrm>
                    <a:prstGeom prst="rect"/>
                  </pic:spPr>
                </pic:pic>
              </a:graphicData>
            </a:graphic>
          </wp:inline>
        </w:drawing>
      </w:r>
    </w:p>
    <w:p>
      <w:pPr>
        <w:pStyle w:val="Body"/>
      </w:pPr>
      <w:r>
        <w:rPr>
          <w:rFonts w:eastAsia="Malgun Gothic"/>
        </w:rPr>
        <w:t>그림 1. 공식 오픈소스 브랜드 로고(Simple Icons, CC0)로 구성한 시스템 아키텍처.</w:t>
      </w:r>
    </w:p>
    <w:p>
      <w:pPr>
        <w:pStyle w:val="Header2"/>
      </w:pPr>
      <w:r>
        <w:rPr>
          <w:rFonts w:eastAsia="Malgun Gothic"/>
        </w:rPr>
        <w:t>2.1. 계층 분리</w:t>
      </w:r>
    </w:p>
    <w:p>
      <w:pPr>
        <w:pStyle w:val="Body"/>
      </w:pPr>
      <w:r>
        <w:rPr>
          <w:rFonts w:eastAsia="Malgun Gothic"/>
        </w:rPr>
        <w:t>의존성은 엄격히 아래로만 흐른다. 컨트롤러는 요청·응답 스키마를 검증하고 도메인 오류를 HTTP 상태 코드로 매핑한다. 서비스는 도메인 규칙(식별자 발급, 메트릭 선택, 지평 변환, 피크 계산)을 소유한다. 리포지토리만이 SQL을 발행한다. Core는 다른 계층에 의존하지 않으므로 데이터베이스 없이 단위 테스트된다.</w:t>
      </w:r>
    </w:p>
    <w:p>
      <w:pPr>
        <w:pStyle w:val="Header1"/>
      </w:pPr>
      <w:r>
        <w:rPr>
          <w:rFonts w:eastAsia="Malgun Gothic"/>
        </w:rPr>
        <w:t>3. 경량 예측 엔진</w:t>
      </w:r>
    </w:p>
    <w:p>
      <w:pPr>
        <w:pStyle w:val="Body"/>
      </w:pPr>
      <w:r>
        <w:rPr>
          <w:rFonts w:eastAsia="Malgun Gothic"/>
        </w:rPr>
        <w:t>예측기는 시계열을 추세·계절·잔차의 가산합으로 모델링한다. 추세는 주기별 블록 평균에 대한 최소제곱으로 추정한다. 한 계절 주기 전체를 평균하면 주기 성분이 상쇄되어 기울기로 누설될 수 없다 — 주기 데이터에 대한 전역 최소제곱의 편향을 교정하는 고전적 분해 기법이다. 계절 지수는 위상별 평균 탈추세 값을 0합으로 재중심화한 것이다.</w:t>
      </w:r>
    </w:p>
    <w:p>
      <w:pPr>
        <w:pStyle w:val="Body"/>
      </w:pPr>
      <w:r>
        <w:rPr>
          <w:rFonts w:eastAsia="Malgun Gothic"/>
        </w:rPr>
        <w:t>예측은 목표 지평에서 추세에 계절 지수를 더해 외삽한다. 예측 구간은 표본 내 잔차가 아니라 표본 외 1-스텝 백테스트 오차(RMSE)로 산정하여, 짧고 과적합되기 쉬운 시계열에서 불확실성을 과소평가하지 않는다. 모델 품질은 분모 바닥값을 둔 MAPE로 보고하여 준유휴 표본이 백분율을 부풀리지 않게 한다. 엔진은 Python 표준 라이브러리만 사용하므로 네이티브 의존성과 컨테이너 풋프린트가 무시할 수준이다.</w:t>
      </w:r>
    </w:p>
    <w:p>
      <w:pPr>
        <w:pStyle w:val="Header1"/>
      </w:pPr>
      <w:r>
        <w:rPr>
          <w:rFonts w:eastAsia="Malgun Gothic"/>
        </w:rPr>
        <w:t>4. 정수계획 리사이징</w:t>
      </w:r>
    </w:p>
    <w:p>
      <w:pPr>
        <w:pStyle w:val="Body"/>
      </w:pPr>
      <w:r>
        <w:rPr>
          <w:rFonts w:eastAsia="Malgun Gothic"/>
        </w:rPr>
        <w:t>현재 할당과 예측 피크 부하가 주어지면, 엔진은 SLO를 위한 안전 마진을 유지하면서 예측 피크 가동률을 목표 이하로 유지하는 최소 정수 할당을 선택한다: peak_load × margin ≤ target_utilisation × allocation. 탐색 공간은 작고 유계(vCPU는 [1, 현재], 메모리는 256MB 블록)이므로 전수 열거로 최적해를 구한다 — 외부 의존성이 필요 없는 정확 해법이다. 95퍼센타일 피크 통계는 단발 스파이크가 영구 과프로비저닝을 강요하지 않게 한다. 실제로 버스트성 배치 호스트는 p95 안전 통계 덕분에 다운사이징이 올바르게 차단된다.</w:t>
      </w:r>
    </w:p>
    <w:p>
      <w:pPr>
        <w:pStyle w:val="Header2"/>
      </w:pPr>
      <w:r>
        <w:rPr>
          <w:rFonts w:eastAsia="Malgun Gothic"/>
        </w:rPr>
        <w:t>4.1. GCP 머신 타입 매핑</w:t>
      </w:r>
    </w:p>
    <w:p>
      <w:pPr>
        <w:pStyle w:val="Body"/>
      </w:pPr>
      <w:r>
        <w:rPr>
          <w:rFonts w:eastAsia="Malgun Gothic"/>
        </w:rPr>
        <w:t>추상적 (vcpu, memory) 권장값은 E2·N2·C2·C3 등 사전정의 GCP 인스턴스 카탈로그에서 가장 근접한 실제 인스턴스로 스냅된다. 대시보드는 이를 "n2-standard-8"처럼 주문 가능한 사양으로 표시하고, 머신 타입 드롭다운으로 임의의 GCP 인스턴스로 직접 리사이즈할 수 있다.</w:t>
      </w:r>
    </w:p>
    <w:p>
      <w:pPr>
        <w:pStyle w:val="Header1"/>
      </w:pPr>
      <w:r>
        <w:rPr>
          <w:rFonts w:eastAsia="Malgun Gothic"/>
        </w:rPr>
        <w:t>5. 구현 및 배포</w:t>
      </w:r>
    </w:p>
    <w:p>
      <w:pPr>
        <w:pStyle w:val="Body"/>
      </w:pPr>
      <w:r>
        <w:rPr>
          <w:rFonts w:eastAsia="Malgun Gothic"/>
        </w:rPr>
        <w:t>백엔드는 SQLAlchemy 2.0 async와 asyncpg를 쓰는 FastAPI이고, 프론트엔드는 Vite로 빌드하여 nginx가 서빙하는 React 19이다. 둘 다 Cloud Run이 주입한 포트를 따르는 비루트 컨테이너로 실행된다. Cloud Build 파이프라인은 린트와 테스트를 수행하고 두 이미지를 빌드하여 Artifact Registry에 푸시하며, 롤링 업데이트로 Cloud Run에 배포하고 공개 호출 권한을 부여한 뒤 배포 후 헬스 체크를 수행하여 비정상 시 빌드를 실패시킨다. 비밀값은 런타임에 Secret Manager에서 주입되며 절대 커밋되지 않는다.</w:t>
      </w:r>
    </w:p>
    <w:p>
      <w:pPr>
        <w:pStyle w:val="Header2"/>
      </w:pPr>
      <w:r>
        <w:rPr>
          <w:rFonts w:eastAsia="Malgun Gothic"/>
        </w:rPr>
        <w:t>5.1. 인터랙티브 리사이징과 감사 추적</w:t>
      </w:r>
    </w:p>
    <w:p>
      <w:pPr>
        <w:pStyle w:val="Body"/>
      </w:pPr>
      <w:r>
        <w:rPr>
          <w:rFonts w:eastAsia="Malgun Gothic"/>
        </w:rPr>
        <w:t>대시보드는 예측-리사이즈 루프를 직접 노출한다: 운영자는 예측을 실행한 뒤 절반/두 배/AI 권장 할당을 적용한다. 각 동작은 호스트 레코드에 대한 실제 영속 변경이며 감사 로그 테이블에 기록되어, 얼마만큼의 용량이 회수되었는지를 실시간 활동 피드로 보여준다(예: "Downsized web-prod-01: 16-&gt;9 vCPU, 32-&gt;23 GB"). 방사형 게이지는 할당 변경에 따라 예측 피크 가동률을 실시간 재계산한다. 또한 각 지표에는 의미를 설명하는 정보(i) 아이콘을 두었고, UI는 반응형으로 구성했다.</w:t>
      </w:r>
    </w:p>
    <w:p>
      <w:pPr>
        <w:pStyle w:val="Body"/>
      </w:pPr>
      <w:r>
        <w:rPr>
          <w:rFonts w:eastAsia="Malgun Gothic"/>
        </w:rPr>
        <w:t>라이브 대시보드: https://metriclens-frontend-f2ei3uwvfq-uc.a.run.app</w:t>
      </w:r>
    </w:p>
    <w:p>
      <w:pPr>
        <w:pStyle w:val="Body"/>
      </w:pPr>
      <w:r>
        <w:rPr>
          <w:rFonts w:eastAsia="Malgun Gothic"/>
        </w:rPr>
        <w:t>라이브 API (Swagger /docs): https://metriclens-backend-f2ei3uwvfq-uc.a.run.app</w:t>
      </w:r>
    </w:p>
    <w:p>
      <w:r>
        <w:drawing>
          <wp:inline xmlns:a="http://schemas.openxmlformats.org/drawingml/2006/main" xmlns:pic="http://schemas.openxmlformats.org/drawingml/2006/picture">
            <wp:extent cx="3017520" cy="4005286"/>
            <wp:docPr id="2" name="Picture 2"/>
            <wp:cNvGraphicFramePr>
              <a:graphicFrameLocks noChangeAspect="1"/>
            </wp:cNvGraphicFramePr>
            <a:graphic>
              <a:graphicData uri="http://schemas.openxmlformats.org/drawingml/2006/picture">
                <pic:pic>
                  <pic:nvPicPr>
                    <pic:cNvPr id="0" name="dashboard_overview.png"/>
                    <pic:cNvPicPr/>
                  </pic:nvPicPr>
                  <pic:blipFill>
                    <a:blip r:embed="rId7"/>
                    <a:stretch>
                      <a:fillRect/>
                    </a:stretch>
                  </pic:blipFill>
                  <pic:spPr>
                    <a:xfrm>
                      <a:off x="0" y="0"/>
                      <a:ext cx="3017520" cy="4005286"/>
                    </a:xfrm>
                    <a:prstGeom prst="rect"/>
                  </pic:spPr>
                </pic:pic>
              </a:graphicData>
            </a:graphic>
          </wp:inline>
        </w:drawing>
      </w:r>
    </w:p>
    <w:p>
      <w:pPr>
        <w:pStyle w:val="Header1"/>
      </w:pPr>
      <w:r>
        <w:rPr>
          <w:rFonts w:eastAsia="Malgun Gothic"/>
        </w:rPr>
        <w:t>6. 시험 데이터의 통계적 대표성</w:t>
      </w:r>
    </w:p>
    <w:p>
      <w:pPr>
        <w:pStyle w:val="Body"/>
      </w:pPr>
      <w:r>
        <w:rPr>
          <w:rFonts w:eastAsia="Malgun Gothic"/>
        </w:rPr>
        <w:t>데모/시드 메트릭은 임의가 아니라 공개된 대규모 데이터센터 트레이스의 실측 통계에 근거한다. Azure Resource Central(Cortez 외, SOSP 2017)에 따르면 VM의 60%가 평균 CPU 20% 미만, 40%가 95퍼센타일 CPU 50% 미만이며, VM은 대화형(일주기)과 지연무관(배치·개발/테스트)으로 나뉜다. Barroso &amp; Hölzle는 서버가 대부분 10–50% 가동 대역에 머문다고 보고했고, Alibaba 2018 트레이스는 배치 전용 서버 평균 29.3%, 서비스 전용 7.4% CPU를 보고했다.</w:t>
      </w:r>
    </w:p>
    <w:p>
      <w:pPr>
        <w:pStyle w:val="Body"/>
      </w:pPr>
      <w:r>
        <w:rPr>
          <w:rFonts w:eastAsia="Malgun Gothic"/>
        </w:rPr>
        <w:t>이에 따라 데모 플릿을 6개 워크로드 아키타입(대화형 웹/대화형 API/정상상태 캐시/버스트 배치/과프로비저닝 서비스/산발적 개발)으로 구성하고, 호스트당 14일 × 시간단위 = 336표본(총 2,016표본)을 결정론적으로 생성한다. 자동 시험은 생성 데이터가 일주기성·버스트성·정상상태·저활용·대화형 예측가능성(MAPE ≤ 15%)을 재현하는지 단언한다.</w:t>
      </w:r>
    </w:p>
    <w:p>
      <w:pPr>
        <w:pStyle w:val="Header1"/>
      </w:pPr>
      <w:r>
        <w:rPr>
          <w:rFonts w:eastAsia="Malgun Gothic"/>
        </w:rPr>
        <w:t>7. 평가</w:t>
      </w:r>
    </w:p>
    <w:p>
      <w:pPr>
        <w:pStyle w:val="Body"/>
      </w:pPr>
      <w:r>
        <w:rPr>
          <w:rFonts w:eastAsia="Malgun Gothic"/>
        </w:rPr>
        <w:t>품질 게이트는 ruff 정적 분석과 45개 pytest 스위트(예측기 8, 최적화기 9, API 13, 머신타입 6, 워크로드 9)를 실행하며 전부 통과한다. 단위 시험은 경계값 분석과 동등 분할을 따르고, 통합 시험은 인메모리 리포지토리로 전체 Controller-Service-Core 경로를 구동하여 라이브 DB가 필요 없다. 근거 기반 6호스트 플릿에서 대화형 호스트의 MAPE는 9–13%로 15% 목표 이내이며, 최적화기는 과프로비저닝 호스트를 정확히 축소(web-prod-01 16→9 vCPU ≈36%, api-staging-02 ≈54%)하는 한편 중부하·버스트 호스트는 유지하고 메모리 바운드 캐시는 CPU만 축소한다 — 모두 99.9% SLO 신뢰도에서.</w:t>
      </w:r>
    </w:p>
    <w:p>
      <w:pPr>
        <w:pStyle w:val="Header1"/>
      </w:pPr>
      <w:r>
        <w:rPr>
          <w:rFonts w:eastAsia="Malgun Gothic"/>
        </w:rPr>
        <w:t>8. 관련 연구 및 차별화</w:t>
      </w:r>
    </w:p>
    <w:p>
      <w:pPr>
        <w:pStyle w:val="Body"/>
      </w:pPr>
      <w:r>
        <w:rPr>
          <w:rFonts w:eastAsia="Malgun Gothic"/>
        </w:rPr>
        <w:t>최적화 시장은 세 그룹으로 나뉜다. (a) 쿠버네티스/클라우드 SaaS 최적화기(CAST AI, Sedai, StormForge, PerfectScale, Kubecost)는 워크로드별 ML로 파드/노드 요청을 자율 튜닝하지만 텔레메트리를 벤더 클라우드로 전송하고 퍼블릭 클라우드 상의 쿠버네티스를 전제한다. (b) 클라우드 제공자 추천기(AWS Compute Optimizer, Azure Advisor, Google Active Assist, IBM Turbonomic)는 단일 제공자에 종속되고 인스턴스 패밀리가 제한적이며 짧은(~14일) 윈도우에 의존해 계절성·버스트에 약하다. (c) 온프레 용량 모니터(SolarWinds, ManageEngine, IDERA)는 온프레에서 동작하나 임계치·선형회귀 기반의 서술적 리포팅에 그쳐 제약 최적화를 풀지 않는다.</w:t>
      </w:r>
    </w:p>
    <w:p>
      <w:pPr>
        <w:pStyle w:val="Body"/>
      </w:pPr>
      <w:r>
        <w:rPr>
          <w:rFonts w:eastAsia="Malgun Gothic"/>
        </w:rPr>
        <w:t>MetricLens는 그 사이의 공백을 차지한다. (1) 에어갭·자립형 — 외부 API·SaaS 콜백·텔레메트리 유출이 없어 SaaS 최적화기가 구조적으로 진입할 수 없는 규제·망분리 환경(국방·금융·공공: CUI/GDPR/DORA)에 적합하다; (2) GPU-프리 경량 — 표준 라이브러리 예측기를 범용 CPU에서 구동한다; (3) 처방적 — 유휴를 보고하는 데 그치지 않고 SLO 제약 정수계획을 정확히 푼다; (4) 화이트박스 — MAPE·예측 구간·헤드룸 부등식으로 모든 결정을 감사 가능하게 한다; (5) 인프라 비종속 — 쿠버네티스 파드가 아니라 일반 VM/베어메탈 호스트를 모델링한다.</w:t>
      </w:r>
    </w:p>
    <w:p>
      <w:pPr>
        <w:pStyle w:val="Header1"/>
      </w:pPr>
      <w:r>
        <w:rPr>
          <w:rFonts w:eastAsia="Malgun Gothic"/>
        </w:rPr>
        <w:t>9. 결론</w:t>
      </w:r>
    </w:p>
    <w:p>
      <w:pPr>
        <w:pStyle w:val="Body"/>
      </w:pPr>
      <w:r>
        <w:rPr>
          <w:rFonts w:eastAsia="Malgun Gothic"/>
        </w:rPr>
        <w:t>MetricLens AI는 정확한 CPU-온리 부하 예측과 정확한 정수계획 리사이징을 의존성 없는 클라우드 네이티브 서비스로 제공할 수 있음을 보인다. 수동적 텔레메트리를 정량적·SLO 인지 사이징 지침으로 전환함으로써 용량 관리를 반응형에서 선제형으로 전환하고, 온프레미스 환경의 인프라 비용과 전력 낭비를 줄이는 실용적 경로를 제시한다.</w:t>
      </w:r>
    </w:p>
    <w:sectPr w:rsidR="00E75AE5" w:rsidSect="004B6ABE">
      <w:type w:val="continuous"/>
      <w:pgSz w:w="12240" w:h="15840"/>
      <w:pgMar w:top="1440" w:right="1080" w:bottom="1440" w:left="1080" w:header="720" w:footer="720" w:gutter="0"/>
      <w:cols w:num="2" w:space="475"/>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w:altName w:val="Times New Roman"/>
    <w:panose1 w:val="020B0604020202020204"/>
    <w:charset w:val="00"/>
    <w:family w:val="auto"/>
    <w:pitch w:val="variable"/>
    <w:sig w:usb0="E00002FF" w:usb1="5000205A" w:usb2="00000000" w:usb3="00000000" w:csb0="0000019F" w:csb1="00000000"/>
  </w:font>
  <w:font w:name="Malgun Gothic">
    <w:panose1 w:val="020B0503020000020004"/>
    <w:charset w:val="81"/>
    <w:family w:val="swiss"/>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6"/>
  <w:embedSystemFonts/>
  <w:proofState w:spelling="clean" w:grammar="clean"/>
  <w:stylePaneSortMethod w:val="0000"/>
  <w:defaultTabStop w:val="720"/>
  <w:autoHyphenation/>
  <w:consecutiveHyphenLimit w:val="4"/>
  <w:displayHorizontalDrawingGridEvery w:val="0"/>
  <w:displayVerticalDrawingGridEvery w:val="0"/>
  <w:doNotUseMarginsForDrawingGridOrigin/>
  <w:noPunctuationKerning/>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973F0"/>
    <w:rsid w:val="0042101B"/>
    <w:rsid w:val="004373F7"/>
    <w:rsid w:val="004B6ABE"/>
    <w:rsid w:val="00912855"/>
    <w:rsid w:val="00B02647"/>
    <w:rsid w:val="00C411B1"/>
    <w:rsid w:val="00D261DD"/>
    <w:rsid w:val="00E75AE5"/>
    <w:rsid w:val="00F973F0"/>
  </w:rsids>
  <m:mathPr>
    <m:mathFont m:val="Cambria Math"/>
    <m:brkBin m:val="before"/>
    <m:brkBinSub m:val="--"/>
    <m:smallFrac m:val="0"/>
    <m:dispDef m:val="0"/>
    <m:lMargin m:val="0"/>
    <m:rMargin m:val="0"/>
    <m:defJc m:val="centerGroup"/>
    <m:wrapRight/>
    <m:intLim m:val="subSup"/>
    <m:naryLim m:val="subSup"/>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1FD96514"/>
  <w14:defaultImageDpi w14:val="0"/>
  <w15:chartTrackingRefBased/>
  <w15:docId w15:val="{48D4D351-DAAB-4C49-A323-C2EA0047CE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w:eastAsiaTheme="minorEastAsia" w:hAnsi="Times" w:cs="Times"/>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72"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uiPriority="70"/>
    <w:lsdException w:name="TOC Heading" w:semiHidden="1" w:uiPriority="71" w:unhideWhenUsed="1" w:qFormat="1"/>
    <w:lsdException w:name="Plain Table 1" w:uiPriority="72"/>
    <w:lsdException w:name="Plain Table 2" w:uiPriority="73"/>
    <w:lsdException w:name="Plain Table 3" w:uiPriority="19" w:qFormat="1"/>
    <w:lsdException w:name="Plain Table 4" w:uiPriority="21" w:qFormat="1"/>
    <w:lsdException w:name="Plain Table 5" w:uiPriority="31" w:qFormat="1"/>
    <w:lsdException w:name="Grid Table Light" w:uiPriority="32" w:qFormat="1"/>
    <w:lsdException w:name="Grid Table 1 Light" w:uiPriority="33" w:qFormat="1"/>
    <w:lsdException w:name="Grid Table 2" w:semiHidden="1" w:uiPriority="37" w:unhideWhenUsed="1"/>
    <w:lsdException w:name="Grid Table 3"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cs="Times New Roman"/>
      <w:sz w:val="24"/>
      <w:lang w:eastAsia="en-US"/>
    </w:rPr>
  </w:style>
  <w:style w:type="character" w:default="1" w:styleId="a0">
    <w:name w:val="Default Paragraph Font"/>
    <w:uiPriority w:val="99"/>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Header1">
    <w:name w:val="Header 1"/>
    <w:basedOn w:val="a"/>
    <w:rsid w:val="00912855"/>
    <w:pPr>
      <w:spacing w:after="40" w:line="240" w:lineRule="exact"/>
      <w:jc w:val="both"/>
    </w:pPr>
    <w:rPr>
      <w:b/>
    </w:rPr>
  </w:style>
  <w:style w:type="paragraph" w:customStyle="1" w:styleId="Header2">
    <w:name w:val="Header 2"/>
    <w:basedOn w:val="Header1"/>
    <w:rsid w:val="00E75AE5"/>
    <w:rPr>
      <w:sz w:val="18"/>
    </w:rPr>
  </w:style>
  <w:style w:type="paragraph" w:customStyle="1" w:styleId="Body">
    <w:name w:val="Body"/>
    <w:basedOn w:val="a"/>
    <w:rsid w:val="00D261DD"/>
    <w:pPr>
      <w:spacing w:after="120" w:line="240" w:lineRule="exact"/>
      <w:jc w:val="both"/>
    </w:pPr>
    <w:rPr>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pixelsPerInch w:val="72"/>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 Id="rId6" Type="http://schemas.openxmlformats.org/officeDocument/2006/relationships/image" Target="media/image1.png"/><Relationship Id="rId7" Type="http://schemas.openxmlformats.org/officeDocument/2006/relationships/image" Target="media/image2.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650</Words>
  <Characters>3710</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Title for USENIX Conference Paper: Sample First Page</vt:lpstr>
    </vt:vector>
  </TitlesOfParts>
  <Company>usenix</Company>
  <LinksUpToDate>false</LinksUpToDate>
  <CharactersWithSpaces>4352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Title for USENIX Conference Paper: Sample First Page</dc:title>
  <dc:subject/>
  <dc:creator>Eileen Cohen</dc:creator>
  <cp:keywords/>
  <dc:description/>
  <cp:lastModifiedBy>이용원</cp:lastModifiedBy>
  <cp:revision>2</cp:revision>
  <cp:lastPrinted>1997-04-02T01:36:00Z</cp:lastPrinted>
  <dcterms:created xsi:type="dcterms:W3CDTF">2026-06-03T04:53:00Z</dcterms:created>
  <dcterms:modified xsi:type="dcterms:W3CDTF">2026-06-03T04:53:00Z</dcterms:modified>
</cp:coreProperties>
</file>