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hase-11-predictive-power"/>
    <w:p>
      <w:pPr>
        <w:pStyle w:val="Heading1"/>
      </w:pPr>
      <w:r>
        <w:t xml:space="preserve">Phase 11 – Predictive Power</w:t>
      </w:r>
    </w:p>
    <w:bookmarkStart w:id="9" w:name="part-1-potential-ψ-gravity-observables"/>
    <w:p>
      <w:pPr>
        <w:pStyle w:val="Heading2"/>
      </w:pPr>
      <w:r>
        <w:t xml:space="preserve">Part 1: Potential ψ-Gravity Observables</w:t>
      </w:r>
    </w:p>
    <w:p>
      <w:r>
        <w:pict>
          <v:rect style="width:0;height:1.5pt" o:hralign="center" o:hrstd="t" o:hr="t"/>
        </w:pict>
      </w:r>
    </w:p>
    <w:bookmarkEnd w:id="9"/>
    <w:bookmarkStart w:id="10" w:name="goal"/>
    <w:p>
      <w:pPr>
        <w:pStyle w:val="Heading2"/>
      </w:pPr>
      <w:r>
        <w:t xml:space="preserve">Goal</w:t>
      </w:r>
    </w:p>
    <w:p>
      <w:pPr>
        <w:pStyle w:val="FirstParagraph"/>
      </w:pPr>
      <w:r>
        <w:t xml:space="preserve">To identify measurable and computationally testable observables derived from ψ-gravity, leveraging results from stability, thermodynamic, and dynamical analyses of Phases 6–10.</w:t>
      </w:r>
    </w:p>
    <w:p>
      <w:r>
        <w:pict>
          <v:rect style="width:0;height:1.5pt" o:hralign="center" o:hrstd="t" o:hr="t"/>
        </w:pict>
      </w:r>
    </w:p>
    <w:bookmarkEnd w:id="10"/>
    <w:bookmarkStart w:id="11" w:name="core-framework"/>
    <w:p>
      <w:pPr>
        <w:pStyle w:val="Heading2"/>
      </w:pPr>
      <w:r>
        <w:t xml:space="preserve">Core Framework</w:t>
      </w:r>
    </w:p>
    <w:p>
      <w:pPr>
        <w:pStyle w:val="FirstParagraph"/>
      </w:pPr>
      <w:r>
        <w:t xml:space="preserve">The foundation of prediction is the ψ-gravity equation: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G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[</m:t>
              </m:r>
              <m:r>
                <m:t> 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]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Gravity(x) = (∇²[ space(x) + current(x)² ]) × ψ(x)</w:t>
      </w:r>
    </w:p>
    <w:p>
      <w:pPr>
        <w:pStyle w:val="BodyText"/>
      </w:pPr>
      <w:r>
        <w:t xml:space="preserve">Associated force is defined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o</m:t>
          </m:r>
          <m:r>
            <m:rPr>
              <m:sty m:val="p"/>
            </m:rPr>
            <m:t>r</m:t>
          </m:r>
          <m:r>
            <m:rPr>
              <m:sty m:val="p"/>
            </m:rPr>
            <m:t>c</m:t>
          </m:r>
          <m:r>
            <m:rPr>
              <m:sty m:val="p"/>
            </m:rP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 </m:t>
          </m:r>
          <m:r>
            <m:rPr>
              <m:sty m:val="p"/>
            </m:rPr>
            <m:t>[</m:t>
          </m:r>
          <m:r>
            <m:t> </m:t>
          </m:r>
          <m:r>
            <m:rPr>
              <m:sty m:val="p"/>
            </m:rPr>
            <m:t>G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 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Force(x) = −∇[Gravity(x)]</w:t>
      </w:r>
    </w:p>
    <w:p>
      <w:r>
        <w:pict>
          <v:rect style="width:0;height:1.5pt" o:hralign="center" o:hrstd="t" o:hr="t"/>
        </w:pict>
      </w:r>
    </w:p>
    <w:bookmarkEnd w:id="11"/>
    <w:bookmarkStart w:id="12" w:name="inputs-from-earlier-phases"/>
    <w:p>
      <w:pPr>
        <w:pStyle w:val="Heading2"/>
      </w:pPr>
      <w:r>
        <w:t xml:space="preserve">Inputs from Earlier Phases</w:t>
      </w:r>
    </w:p>
    <w:p>
      <w:pPr>
        <w:pStyle w:val="FirstParagraph"/>
      </w:pPr>
      <w:r>
        <w:rPr>
          <w:b/>
          <w:bCs/>
        </w:rPr>
        <w:t xml:space="preserve">Phase 6 (Test Particle Motion)</w:t>
      </w:r>
    </w:p>
    <w:p>
      <w:pPr>
        <w:numPr>
          <w:ilvl w:val="0"/>
          <w:numId w:val="1001"/>
        </w:numPr>
      </w:pPr>
      <w:r>
        <w:t xml:space="preserve">Test particles followed ψ-curved geodesics.</w:t>
      </w:r>
    </w:p>
    <w:p>
      <w:pPr>
        <w:numPr>
          <w:ilvl w:val="0"/>
          <w:numId w:val="1001"/>
        </w:numPr>
      </w:pPr>
      <w:r>
        <w:t xml:space="preserve">ψ wells acted as effective gravitational attractors.</w:t>
      </w:r>
    </w:p>
    <w:p>
      <w:pPr>
        <w:numPr>
          <w:ilvl w:val="0"/>
          <w:numId w:val="1001"/>
        </w:numPr>
      </w:pPr>
      <w:r>
        <w:t xml:space="preserve">Motion was sensitive to ψ gradients and local oscillations.</w:t>
      </w:r>
    </w:p>
    <w:p>
      <w:pPr>
        <w:pStyle w:val="FirstParagraph"/>
      </w:pPr>
      <w:r>
        <w:rPr>
          <w:b/>
          <w:bCs/>
        </w:rPr>
        <w:t xml:space="preserve">Phase 7 (Consistency Checks)</w:t>
      </w:r>
    </w:p>
    <w:p>
      <w:pPr>
        <w:numPr>
          <w:ilvl w:val="0"/>
          <w:numId w:val="1002"/>
        </w:numPr>
      </w:pPr>
      <w:r>
        <w:t xml:space="preserve">ψ amplitude constrained for bounded energy.</w:t>
      </w:r>
    </w:p>
    <w:p>
      <w:pPr>
        <w:numPr>
          <w:ilvl w:val="0"/>
          <w:numId w:val="1002"/>
        </w:numPr>
      </w:pPr>
      <w:r>
        <w:t xml:space="preserve">Current² term provided dynamic stabilization/destabilization.</w:t>
      </w:r>
    </w:p>
    <w:p>
      <w:pPr>
        <w:numPr>
          <w:ilvl w:val="0"/>
          <w:numId w:val="1002"/>
        </w:numPr>
      </w:pPr>
      <w:r>
        <w:t xml:space="preserve">Identified conditions for non-singular evolution.</w:t>
      </w:r>
    </w:p>
    <w:p>
      <w:pPr>
        <w:pStyle w:val="FirstParagraph"/>
      </w:pPr>
      <w:r>
        <w:rPr>
          <w:b/>
          <w:bCs/>
        </w:rPr>
        <w:t xml:space="preserve">Phase 8 (Geometric Embedding)</w:t>
      </w:r>
    </w:p>
    <w:p>
      <w:pPr>
        <w:numPr>
          <w:ilvl w:val="0"/>
          <w:numId w:val="1003"/>
        </w:numPr>
      </w:pPr>
      <w:r>
        <w:t xml:space="preserve">ψ contributed directly to effective metric structure.</w:t>
      </w:r>
    </w:p>
    <w:p>
      <w:pPr>
        <w:numPr>
          <w:ilvl w:val="0"/>
          <w:numId w:val="1003"/>
        </w:numPr>
      </w:pPr>
      <w:r>
        <w:t xml:space="preserve">Geodesic deviation linked to ψ curvature.</w:t>
      </w:r>
    </w:p>
    <w:p>
      <w:pPr>
        <w:numPr>
          <w:ilvl w:val="0"/>
          <w:numId w:val="1003"/>
        </w:numPr>
      </w:pPr>
      <w:r>
        <w:t xml:space="preserve">Hamiltonian representation clarified dynamical flows.</w:t>
      </w:r>
    </w:p>
    <w:p>
      <w:pPr>
        <w:pStyle w:val="FirstParagraph"/>
      </w:pPr>
      <w:r>
        <w:rPr>
          <w:b/>
          <w:bCs/>
        </w:rPr>
        <w:t xml:space="preserve">Phase 9 (ψ-Thermodynamics)</w:t>
      </w:r>
    </w:p>
    <w:p>
      <w:pPr>
        <w:numPr>
          <w:ilvl w:val="0"/>
          <w:numId w:val="1004"/>
        </w:numPr>
      </w:pPr>
      <w:r>
        <w:t xml:space="preserve">ψ carried entropic gradients driving drift currents.</w:t>
      </w:r>
    </w:p>
    <w:p>
      <w:pPr>
        <w:numPr>
          <w:ilvl w:val="0"/>
          <w:numId w:val="1004"/>
        </w:numPr>
      </w:pPr>
      <w:r>
        <w:t xml:space="preserve">Fluctuation–dissipation relation identified between ψ and test particles.</w:t>
      </w:r>
    </w:p>
    <w:p>
      <w:pPr>
        <w:numPr>
          <w:ilvl w:val="0"/>
          <w:numId w:val="1004"/>
        </w:numPr>
      </w:pPr>
      <w:r>
        <w:t xml:space="preserve">ψ wells exhibited entropy-gradient asymmetry.</w:t>
      </w:r>
    </w:p>
    <w:p>
      <w:pPr>
        <w:pStyle w:val="FirstParagraph"/>
      </w:pPr>
      <w:r>
        <w:rPr>
          <w:b/>
          <w:bCs/>
        </w:rPr>
        <w:t xml:space="preserve">Phase 10 (Linear Stability &amp; Dispersion)</w:t>
      </w:r>
    </w:p>
    <w:p>
      <w:pPr>
        <w:numPr>
          <w:ilvl w:val="0"/>
          <w:numId w:val="1005"/>
        </w:numPr>
      </w:pPr>
      <w:r>
        <w:t xml:space="preserve">Stable oscillatory modes described by ω–k relation.</w:t>
      </w:r>
    </w:p>
    <w:p>
      <w:pPr>
        <w:numPr>
          <w:ilvl w:val="0"/>
          <w:numId w:val="1005"/>
        </w:numPr>
      </w:pPr>
      <w:r>
        <w:t xml:space="preserve">Unstable growing modes predicted ψ clustering.</w:t>
      </w:r>
    </w:p>
    <w:p>
      <w:pPr>
        <w:numPr>
          <w:ilvl w:val="0"/>
          <w:numId w:val="1005"/>
        </w:numPr>
      </w:pPr>
      <w:r>
        <w:t xml:space="preserve">Interference patterns and beat envelopes identified.</w:t>
      </w:r>
    </w:p>
    <w:p>
      <w:r>
        <w:pict>
          <v:rect style="width:0;height:1.5pt" o:hralign="center" o:hrstd="t" o:hr="t"/>
        </w:pict>
      </w:r>
    </w:p>
    <w:bookmarkEnd w:id="12"/>
    <w:bookmarkStart w:id="18" w:name="candidate-observables"/>
    <w:p>
      <w:pPr>
        <w:pStyle w:val="Heading2"/>
      </w:pPr>
      <w:r>
        <w:t xml:space="preserve">Candidate Observables</w:t>
      </w:r>
    </w:p>
    <w:bookmarkStart w:id="13" w:name="ψ-wave-propagation-signatures"/>
    <w:p>
      <w:pPr>
        <w:pStyle w:val="Heading3"/>
      </w:pPr>
      <w:r>
        <w:t xml:space="preserve">1. ψ-Wave Propagation Signatures</w:t>
      </w:r>
    </w:p>
    <w:p>
      <w:pPr>
        <w:pStyle w:val="FirstParagraph"/>
      </w:pPr>
      <w:r>
        <w:t xml:space="preserve">Localized wave packets, traveling pulses, and standing waves emerge due to ψ dynamics.</w:t>
      </w:r>
    </w:p>
    <w:p>
      <w:pPr>
        <w:pStyle w:val="BodyText"/>
      </w:pPr>
      <w:r>
        <w:t xml:space="preserve">Predicted behaviors:</w:t>
      </w:r>
    </w:p>
    <w:p>
      <w:pPr>
        <w:numPr>
          <w:ilvl w:val="0"/>
          <w:numId w:val="1006"/>
        </w:numPr>
      </w:pPr>
      <w:r>
        <w:t xml:space="preserve">Oscillatory ψ envelopes with dispersion from Phase 10.</w:t>
      </w:r>
    </w:p>
    <w:p>
      <w:pPr>
        <w:numPr>
          <w:ilvl w:val="0"/>
          <w:numId w:val="1006"/>
        </w:numPr>
      </w:pPr>
      <w:r>
        <w:t xml:space="preserve">Beat frequency patterns when two ψ modes overlap.</w:t>
      </w:r>
    </w:p>
    <w:p>
      <w:pPr>
        <w:numPr>
          <w:ilvl w:val="0"/>
          <w:numId w:val="1006"/>
        </w:numPr>
      </w:pPr>
      <w:r>
        <w:t xml:space="preserve">Standing ψ waves anchored by boundary conditions.</w:t>
      </w:r>
    </w:p>
    <w:p>
      <w:pPr>
        <w:pStyle w:val="FirstParagraph"/>
      </w:pPr>
      <w:r>
        <w:t xml:space="preserve">Equation of propagation (from dispersion):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α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β</m:t>
          </m:r>
          <m:sSup>
            <m:e>
              <m:r>
                <m:t>k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ω² = α k² + β k⁴</w:t>
      </w:r>
    </w:p>
    <w:p>
      <w:pPr>
        <w:pStyle w:val="BodyText"/>
      </w:pPr>
      <w:r>
        <w:t xml:space="preserve">Here α and β encode ψ–space–current couplings.</w:t>
      </w:r>
    </w:p>
    <w:p>
      <w:r>
        <w:pict>
          <v:rect style="width:0;height:1.5pt" o:hralign="center" o:hrstd="t" o:hr="t"/>
        </w:pict>
      </w:r>
    </w:p>
    <w:bookmarkEnd w:id="13"/>
    <w:bookmarkStart w:id="14" w:name="emergent-localized-structures"/>
    <w:p>
      <w:pPr>
        <w:pStyle w:val="Heading3"/>
      </w:pPr>
      <w:r>
        <w:t xml:space="preserve">2. Emergent Localized Structures</w:t>
      </w:r>
    </w:p>
    <w:p>
      <w:pPr>
        <w:pStyle w:val="FirstParagraph"/>
      </w:pPr>
      <w:r>
        <w:t xml:space="preserve">ψ wells act like gravitational attractors.</w:t>
      </w:r>
    </w:p>
    <w:p>
      <w:pPr>
        <w:pStyle w:val="BodyText"/>
      </w:pPr>
      <w:r>
        <w:t xml:space="preserve">Predicted behaviors:</w:t>
      </w:r>
    </w:p>
    <w:p>
      <w:pPr>
        <w:numPr>
          <w:ilvl w:val="0"/>
          <w:numId w:val="1007"/>
        </w:numPr>
      </w:pPr>
      <w:r>
        <w:t xml:space="preserve">Stable localized ψ depressions resembling dunes.</w:t>
      </w:r>
    </w:p>
    <w:p>
      <w:pPr>
        <w:numPr>
          <w:ilvl w:val="0"/>
          <w:numId w:val="1007"/>
        </w:numPr>
      </w:pPr>
      <w:r>
        <w:t xml:space="preserve">Clustering of test particles around ψ wells.</w:t>
      </w:r>
    </w:p>
    <w:p>
      <w:pPr>
        <w:numPr>
          <w:ilvl w:val="0"/>
          <w:numId w:val="1007"/>
        </w:numPr>
      </w:pPr>
      <w:r>
        <w:t xml:space="preserve">Bound state formation in ψ traps.</w:t>
      </w:r>
    </w:p>
    <w:p>
      <w:pPr>
        <w:pStyle w:val="FirstParagraph"/>
      </w:pPr>
      <w:r>
        <w:t xml:space="preserve">Effective potential: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f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G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[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V_eff(x) = Gravity(x) = (∇²[space(x) + current(x)²]) × ψ(x)</w:t>
      </w:r>
    </w:p>
    <w:p>
      <w:r>
        <w:pict>
          <v:rect style="width:0;height:1.5pt" o:hralign="center" o:hrstd="t" o:hr="t"/>
        </w:pict>
      </w:r>
    </w:p>
    <w:bookmarkEnd w:id="14"/>
    <w:bookmarkStart w:id="15" w:name="deviations-from-newtonian-force-laws"/>
    <w:p>
      <w:pPr>
        <w:pStyle w:val="Heading3"/>
      </w:pPr>
      <w:r>
        <w:t xml:space="preserve">3. Deviations from Newtonian Force Laws</w:t>
      </w:r>
    </w:p>
    <w:p>
      <w:pPr>
        <w:pStyle w:val="FirstParagraph"/>
      </w:pPr>
      <w:r>
        <w:t xml:space="preserve">ψ-gravity produces modifications to inverse-square expectations.</w:t>
      </w:r>
    </w:p>
    <w:p>
      <w:pPr>
        <w:pStyle w:val="BodyText"/>
      </w:pPr>
      <w:r>
        <w:t xml:space="preserve">Predicted behaviors:</w:t>
      </w:r>
    </w:p>
    <w:p>
      <w:pPr>
        <w:numPr>
          <w:ilvl w:val="0"/>
          <w:numId w:val="1008"/>
        </w:numPr>
      </w:pPr>
      <w:r>
        <w:t xml:space="preserve">Non-1/r² scaling in certain ψ gradients.</w:t>
      </w:r>
    </w:p>
    <w:p>
      <w:pPr>
        <w:numPr>
          <w:ilvl w:val="0"/>
          <w:numId w:val="1008"/>
        </w:numPr>
      </w:pPr>
      <w:r>
        <w:t xml:space="preserve">Oscillatory corrections in force profile.</w:t>
      </w:r>
    </w:p>
    <w:p>
      <w:pPr>
        <w:numPr>
          <w:ilvl w:val="0"/>
          <w:numId w:val="1008"/>
        </w:numPr>
      </w:pPr>
      <w:r>
        <w:t xml:space="preserve">Current²-dependent shifts in effective force range.</w:t>
      </w:r>
    </w:p>
    <w:p>
      <w:pPr>
        <w:pStyle w:val="FirstParagraph"/>
      </w:pPr>
      <w:r>
        <w:t xml:space="preserve">Force profile deviation term: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t>F</m:t>
          </m:r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∝</m:t>
          </m:r>
          <m:sSup>
            <m:e>
              <m:r>
                <m:t>ψ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γ</m:t>
          </m:r>
          <m:r>
            <m:t> </m:t>
          </m:r>
          <m:r>
            <m:rPr>
              <m:sty m:val="p"/>
            </m:rPr>
            <m:t>c</m:t>
          </m:r>
          <m:r>
            <m:rPr>
              <m:sty m:val="p"/>
            </m:rPr>
            <m:t>u</m:t>
          </m:r>
          <m:r>
            <m:rPr>
              <m:sty m:val="p"/>
            </m:rPr>
            <m:t>r</m:t>
          </m:r>
          <m:r>
            <m:rPr>
              <m:sty m:val="p"/>
            </m:rPr>
            <m:t>r</m:t>
          </m:r>
          <m:r>
            <m:rPr>
              <m:sty m:val="p"/>
            </m:rPr>
            <m:t>e</m:t>
          </m:r>
          <m:r>
            <m:rPr>
              <m:sty m:val="p"/>
            </m:rPr>
            <m:t>n</m:t>
          </m:r>
          <m:r>
            <m:rPr>
              <m:sty m:val="p"/>
            </m:rPr>
            <m:t>t</m:t>
          </m:r>
          <m:r>
            <m:rPr>
              <m:sty m:val="p"/>
            </m:rPr>
            <m:t>(</m:t>
          </m:r>
          <m:r>
            <m:t>r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ΔF(r) ∝ ψ’(r) + γ · current(r)²</w:t>
      </w:r>
    </w:p>
    <w:p>
      <w:r>
        <w:pict>
          <v:rect style="width:0;height:1.5pt" o:hralign="center" o:hrstd="t" o:hr="t"/>
        </w:pict>
      </w:r>
    </w:p>
    <w:bookmarkEnd w:id="15"/>
    <w:bookmarkStart w:id="16" w:name="entropy-driven-fluctuationdissipation"/>
    <w:p>
      <w:pPr>
        <w:pStyle w:val="Heading3"/>
      </w:pPr>
      <w:r>
        <w:t xml:space="preserve">4. Entropy-Driven Fluctuation–Dissipation</w:t>
      </w:r>
    </w:p>
    <w:p>
      <w:pPr>
        <w:pStyle w:val="FirstParagraph"/>
      </w:pPr>
      <w:r>
        <w:t xml:space="preserve">ψ carries entropic flow patterns that affect test-particle diffusion.</w:t>
      </w:r>
    </w:p>
    <w:p>
      <w:pPr>
        <w:pStyle w:val="BodyText"/>
      </w:pPr>
      <w:r>
        <w:t xml:space="preserve">Predicted behaviors:</w:t>
      </w:r>
    </w:p>
    <w:p>
      <w:pPr>
        <w:numPr>
          <w:ilvl w:val="0"/>
          <w:numId w:val="1009"/>
        </w:numPr>
      </w:pPr>
      <w:r>
        <w:t xml:space="preserve">Drift currents aligned with ψ entropy gradients.</w:t>
      </w:r>
    </w:p>
    <w:p>
      <w:pPr>
        <w:numPr>
          <w:ilvl w:val="0"/>
          <w:numId w:val="1009"/>
        </w:numPr>
      </w:pPr>
      <w:r>
        <w:t xml:space="preserve">Dissipative spreading when ψ gradients are shallow.</w:t>
      </w:r>
    </w:p>
    <w:p>
      <w:pPr>
        <w:numPr>
          <w:ilvl w:val="0"/>
          <w:numId w:val="1009"/>
        </w:numPr>
      </w:pPr>
      <w:r>
        <w:t xml:space="preserve">Oscillatory confinement in high-gradient wells.</w:t>
      </w:r>
    </w:p>
    <w:p>
      <w:pPr>
        <w:pStyle w:val="FirstParagraph"/>
      </w:pPr>
      <w:r>
        <w:t xml:space="preserve">Entropy force analogy: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y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T</m:t>
          </m:r>
          <m:r>
            <m:rPr>
              <m:sty m:val="p"/>
            </m:rPr>
            <m:t>∇</m:t>
          </m:r>
          <m:sSub>
            <m:e>
              <m:r>
                <m:t>S</m:t>
              </m:r>
            </m:e>
            <m:sub>
              <m:r>
                <m:t>ψ</m:t>
              </m:r>
            </m:sub>
          </m:sSub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F_entropy = −T ∇S_ψ</w:t>
      </w: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ψ</m:t>
            </m:r>
          </m:sub>
        </m:sSub>
      </m:oMath>
      <w:r>
        <w:t xml:space="preserve"> </w:t>
      </w:r>
      <w:r>
        <w:t xml:space="preserve">is ψ-entropy density (from Phase 9).</w:t>
      </w:r>
    </w:p>
    <w:p>
      <w:r>
        <w:pict>
          <v:rect style="width:0;height:1.5pt" o:hralign="center" o:hrstd="t" o:hr="t"/>
        </w:pict>
      </w:r>
    </w:p>
    <w:bookmarkEnd w:id="16"/>
    <w:bookmarkStart w:id="17" w:name="mode-interaction-effects"/>
    <w:p>
      <w:pPr>
        <w:pStyle w:val="Heading3"/>
      </w:pPr>
      <w:r>
        <w:t xml:space="preserve">5. Mode Interaction Effects</w:t>
      </w:r>
    </w:p>
    <w:p>
      <w:pPr>
        <w:pStyle w:val="FirstParagraph"/>
      </w:pPr>
      <w:r>
        <w:t xml:space="preserve">Overlapping ψ modes generate interference phenomena.</w:t>
      </w:r>
    </w:p>
    <w:p>
      <w:pPr>
        <w:pStyle w:val="BodyText"/>
      </w:pPr>
      <w:r>
        <w:t xml:space="preserve">Predicted behaviors:</w:t>
      </w:r>
    </w:p>
    <w:p>
      <w:pPr>
        <w:numPr>
          <w:ilvl w:val="0"/>
          <w:numId w:val="1010"/>
        </w:numPr>
      </w:pPr>
      <w:r>
        <w:t xml:space="preserve">Beat envelopes from ω₁ ≈ ω₂ modes.</w:t>
      </w:r>
    </w:p>
    <w:p>
      <w:pPr>
        <w:numPr>
          <w:ilvl w:val="0"/>
          <w:numId w:val="1010"/>
        </w:numPr>
      </w:pPr>
      <w:r>
        <w:t xml:space="preserve">Traveling interference fringes.</w:t>
      </w:r>
    </w:p>
    <w:p>
      <w:pPr>
        <w:numPr>
          <w:ilvl w:val="0"/>
          <w:numId w:val="1010"/>
        </w:numPr>
      </w:pPr>
      <w:r>
        <w:t xml:space="preserve">Nonlinear resonance amplification.</w:t>
      </w:r>
    </w:p>
    <w:p>
      <w:pPr>
        <w:pStyle w:val="FirstParagraph"/>
      </w:pPr>
      <w:r>
        <w:t xml:space="preserve">Beat frequency: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b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|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</m:oMath>
      </m:oMathPara>
    </w:p>
    <w:p>
      <w:pPr>
        <w:pStyle w:val="FirstParagraph"/>
      </w:pPr>
      <w:r>
        <w:t xml:space="preserve">Plain-text:</w:t>
      </w:r>
      <w:r>
        <w:br/>
      </w:r>
      <w:r>
        <w:t xml:space="preserve">Ω_beat = |ω₁ − ω₂|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19" w:name="predictive-regimes"/>
    <w:p>
      <w:pPr>
        <w:pStyle w:val="Heading2"/>
      </w:pPr>
      <w:r>
        <w:t xml:space="preserve">Predictive Regimes</w:t>
      </w:r>
    </w:p>
    <w:p>
      <w:pPr>
        <w:pStyle w:val="FirstParagraph"/>
      </w:pPr>
      <w:r>
        <w:t xml:space="preserve">By overlaying linear stability (Phase 10) and thermodynamic fluxes (Phase 9), I can identify prediction zones:</w:t>
      </w:r>
    </w:p>
    <w:p>
      <w:pPr>
        <w:numPr>
          <w:ilvl w:val="0"/>
          <w:numId w:val="1011"/>
        </w:numPr>
      </w:pPr>
      <w:r>
        <w:t xml:space="preserve">Stable oscillatory regime → ψ standing waves, periodic particle drift.</w:t>
      </w:r>
    </w:p>
    <w:p>
      <w:pPr>
        <w:numPr>
          <w:ilvl w:val="0"/>
          <w:numId w:val="1011"/>
        </w:numPr>
      </w:pPr>
      <w:r>
        <w:t xml:space="preserve">Weakly unstable regime → emergent localized wells, particle clustering.</w:t>
      </w:r>
    </w:p>
    <w:p>
      <w:pPr>
        <w:numPr>
          <w:ilvl w:val="0"/>
          <w:numId w:val="1011"/>
        </w:numPr>
      </w:pPr>
      <w:r>
        <w:t xml:space="preserve">Strongly unstable regime → nonlinear amplification, dune-like ψ structures.</w:t>
      </w:r>
    </w:p>
    <w:p>
      <w:pPr>
        <w:numPr>
          <w:ilvl w:val="0"/>
          <w:numId w:val="1011"/>
        </w:numPr>
      </w:pPr>
      <w:r>
        <w:t xml:space="preserve">Entropy-gradient regime → diffusion–drift competition, fluctuation-driven corrections.</w:t>
      </w:r>
    </w:p>
    <w:p>
      <w:r>
        <w:pict>
          <v:rect style="width:0;height:1.5pt" o:hralign="center" o:hrstd="t" o:hr="t"/>
        </w:pict>
      </w:r>
    </w:p>
    <w:bookmarkEnd w:id="19"/>
    <w:bookmarkStart w:id="20" w:name="simulation-sketch"/>
    <w:p>
      <w:pPr>
        <w:pStyle w:val="Heading2"/>
      </w:pPr>
      <w:r>
        <w:t xml:space="preserve">Simulation Sketch</w:t>
      </w:r>
    </w:p>
    <w:p>
      <w:pPr>
        <w:pStyle w:val="FirstParagraph"/>
      </w:pPr>
      <w:r>
        <w:t xml:space="preserve">Below is a prototype script to visualize ψ-wave propagation with interference. It demonstrates predictive signatures by superposing two ψ modes.</w:t>
      </w:r>
    </w:p>
    <w:p>
      <w:pPr>
        <w:pStyle w:val="SourceCode"/>
      </w:pPr>
      <w:r>
        <w:rPr>
          <w:rStyle w:val="CommentTok"/>
        </w:rPr>
        <w:t xml:space="preserve"># simulations/phase11_part1_wave_signatures.py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X,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 t)</w:t>
      </w:r>
      <w:r>
        <w:br/>
      </w:r>
      <w:r>
        <w:br/>
      </w:r>
      <w:r>
        <w:rPr>
          <w:rStyle w:val="CommentTok"/>
        </w:rPr>
        <w:t xml:space="preserve"># Mode frequencies and wavenumbers</w:t>
      </w:r>
      <w:r>
        <w:br/>
      </w:r>
      <w:r>
        <w:rPr>
          <w:rStyle w:val="NormalTok"/>
        </w:rPr>
        <w:t xml:space="preserve">k1, 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br/>
      </w:r>
      <w:r>
        <w:rPr>
          <w:rStyle w:val="NormalTok"/>
        </w:rPr>
        <w:t xml:space="preserve">omega1, omega2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</w:t>
      </w:r>
      <w:r>
        <w:br/>
      </w:r>
      <w:r>
        <w:br/>
      </w:r>
      <w:r>
        <w:rPr>
          <w:rStyle w:val="CommentTok"/>
        </w:rPr>
        <w:t xml:space="preserve"># ψ-wave superposition</w:t>
      </w:r>
      <w:r>
        <w:br/>
      </w:r>
      <w:r>
        <w:rPr>
          <w:rStyle w:val="NormalTok"/>
        </w:rPr>
        <w:t xml:space="preserve">psi_wave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np.cos(k1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np.cos(k2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Plot snapshot at mid-time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plt.plot(x, psi_wave[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,:])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"Phase 11 – Part 1: ψ-Wave Interference 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"ψ(x,t)"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2025-09-06T12:59:50Z</dcterms:created>
  <dcterms:modified xsi:type="dcterms:W3CDTF">2025-09-06T12:59:50Z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