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hase-11-predictive-power"/>
    <w:p>
      <w:pPr>
        <w:pStyle w:val="Heading1"/>
      </w:pPr>
      <w:r>
        <w:t xml:space="preserve">Phase 11 – Predictive Power</w:t>
      </w:r>
    </w:p>
    <w:bookmarkStart w:id="9" w:name="X5858e969fecc49eeb98f0b41cab746282603acf"/>
    <w:p>
      <w:pPr>
        <w:pStyle w:val="Heading2"/>
      </w:pPr>
      <w:r>
        <w:t xml:space="preserve">Part 2: Predictive Signatures of ψ-Waves and Emergent Structures</w:t>
      </w:r>
    </w:p>
    <w:p>
      <w:r>
        <w:pict>
          <v:rect style="width:0;height:1.5pt" o:hralign="center" o:hrstd="t" o:hr="t"/>
        </w:pict>
      </w:r>
    </w:p>
    <w:bookmarkEnd w:id="9"/>
    <w:bookmarkStart w:id="10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To model explicit predictive signatures associated with ψ-wave dynamics and the formation of emergent localized structures, building upon observables identified in Part 1.</w:t>
      </w:r>
    </w:p>
    <w:p>
      <w:r>
        <w:pict>
          <v:rect style="width:0;height:1.5pt" o:hralign="center" o:hrstd="t" o:hr="t"/>
        </w:pict>
      </w:r>
    </w:p>
    <w:bookmarkEnd w:id="10"/>
    <w:bookmarkStart w:id="14" w:name="ψ-wave-signatures"/>
    <w:p>
      <w:pPr>
        <w:pStyle w:val="Heading2"/>
      </w:pPr>
      <w:r>
        <w:t xml:space="preserve">ψ-Wave Signatures</w:t>
      </w:r>
    </w:p>
    <w:bookmarkStart w:id="11" w:name="traveling-wave-pulses"/>
    <w:p>
      <w:pPr>
        <w:pStyle w:val="Heading3"/>
      </w:pPr>
      <w:r>
        <w:t xml:space="preserve">Traveling Wave Pulses</w:t>
      </w:r>
    </w:p>
    <w:p>
      <w:pPr>
        <w:pStyle w:val="FirstParagraph"/>
      </w:pPr>
      <w:r>
        <w:t xml:space="preserve">ψ supports propagating wave-like structures derived from the dispersion relation: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α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β</m:t>
          </m:r>
          <m:sSup>
            <m:e>
              <m:r>
                <m:t>k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Plain text: ω² = α k² + β k⁴</w:t>
      </w:r>
    </w:p>
    <w:p>
      <w:pPr>
        <w:pStyle w:val="BodyText"/>
      </w:pPr>
      <w:r>
        <w:t xml:space="preserve">Predicted behaviors:</w:t>
      </w:r>
    </w:p>
    <w:p>
      <w:pPr>
        <w:pStyle w:val="Compact"/>
        <w:numPr>
          <w:ilvl w:val="0"/>
          <w:numId w:val="1001"/>
        </w:numPr>
      </w:pPr>
      <w:r>
        <w:t xml:space="preserve">Group velocity depends on k: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ω</m:t>
              </m:r>
            </m:num>
            <m:den>
              <m:r>
                <m:t>d</m:t>
              </m:r>
              <m:r>
                <m:t>k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α</m:t>
              </m:r>
              <m:r>
                <m:t>k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β</m:t>
              </m:r>
              <m:sSup>
                <m:e>
                  <m:r>
                    <m:t>k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ω</m:t>
              </m:r>
            </m:den>
          </m:f>
        </m:oMath>
      </m:oMathPara>
    </w:p>
    <w:p>
      <w:pPr>
        <w:pStyle w:val="FirstParagraph"/>
      </w:pPr>
      <w:r>
        <w:t xml:space="preserve">Plain text: v_g = (αk + 2βk³) / ω</w:t>
      </w:r>
    </w:p>
    <w:p>
      <w:pPr>
        <w:numPr>
          <w:ilvl w:val="0"/>
          <w:numId w:val="1002"/>
        </w:numPr>
      </w:pPr>
      <w:r>
        <w:t xml:space="preserve">Low-k modes → long-range oscillations.</w:t>
      </w:r>
    </w:p>
    <w:p>
      <w:pPr>
        <w:numPr>
          <w:ilvl w:val="0"/>
          <w:numId w:val="1002"/>
        </w:numPr>
      </w:pPr>
      <w:r>
        <w:t xml:space="preserve">High-k modes → localized ripples, higher dissipation.</w:t>
      </w:r>
    </w:p>
    <w:p>
      <w:r>
        <w:pict>
          <v:rect style="width:0;height:1.5pt" o:hralign="center" o:hrstd="t" o:hr="t"/>
        </w:pict>
      </w:r>
    </w:p>
    <w:bookmarkEnd w:id="11"/>
    <w:bookmarkStart w:id="12" w:name="standing-waves"/>
    <w:p>
      <w:pPr>
        <w:pStyle w:val="Heading3"/>
      </w:pPr>
      <w:r>
        <w:t xml:space="preserve">Standing Waves</w:t>
      </w:r>
    </w:p>
    <w:p>
      <w:pPr>
        <w:pStyle w:val="FirstParagraph"/>
      </w:pPr>
      <w:r>
        <w:t xml:space="preserve">Boundary conditions (reflective or periodic) stabilize standing ψ waves: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k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ω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ψ(x,t) = A cos(kx) cos(ωt)</w:t>
      </w:r>
    </w:p>
    <w:p>
      <w:pPr>
        <w:pStyle w:val="BodyText"/>
      </w:pPr>
      <w:r>
        <w:t xml:space="preserve">Predictive observables:</w:t>
      </w:r>
    </w:p>
    <w:p>
      <w:pPr>
        <w:numPr>
          <w:ilvl w:val="0"/>
          <w:numId w:val="1003"/>
        </w:numPr>
      </w:pPr>
      <w:r>
        <w:t xml:space="preserve">Periodic oscillations in effective force.</w:t>
      </w:r>
    </w:p>
    <w:p>
      <w:pPr>
        <w:numPr>
          <w:ilvl w:val="0"/>
          <w:numId w:val="1003"/>
        </w:numPr>
      </w:pPr>
      <w:r>
        <w:t xml:space="preserve">Nodes and antinodes observable in particle trajectories.</w:t>
      </w:r>
    </w:p>
    <w:p>
      <w:pPr>
        <w:numPr>
          <w:ilvl w:val="0"/>
          <w:numId w:val="1003"/>
        </w:numPr>
      </w:pPr>
      <w:r>
        <w:t xml:space="preserve">Phase coherence across extended domains.</w:t>
      </w:r>
    </w:p>
    <w:p>
      <w:r>
        <w:pict>
          <v:rect style="width:0;height:1.5pt" o:hralign="center" o:hrstd="t" o:hr="t"/>
        </w:pict>
      </w:r>
    </w:p>
    <w:bookmarkEnd w:id="12"/>
    <w:bookmarkStart w:id="13" w:name="beat-patterns"/>
    <w:p>
      <w:pPr>
        <w:pStyle w:val="Heading3"/>
      </w:pPr>
      <w:r>
        <w:t xml:space="preserve">Beat Patterns</w:t>
      </w:r>
    </w:p>
    <w:p>
      <w:pPr>
        <w:pStyle w:val="FirstParagraph"/>
      </w:pPr>
      <w:r>
        <w:t xml:space="preserve">Superposition of nearly resonant modes: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k</m:t>
          </m:r>
          <m:r>
            <m:t>x</m:t>
          </m:r>
          <m:r>
            <m:rPr>
              <m:sty m:val="p"/>
            </m:rPr>
            <m:t>−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k</m:t>
          </m:r>
          <m:r>
            <m:t>x</m:t>
          </m:r>
          <m:r>
            <m:rPr>
              <m:sty m:val="p"/>
            </m:rPr>
            <m:t>−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ψ(x,t) = cos(kx − ω₁t) + cos(kx − ω₂t)</w:t>
      </w:r>
    </w:p>
    <w:p>
      <w:pPr>
        <w:pStyle w:val="BodyText"/>
      </w:pPr>
      <w:r>
        <w:t xml:space="preserve">Envelope oscillation at frequency: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Plain text: Ω_beat = |ω₁ − ω₂|</w:t>
      </w:r>
    </w:p>
    <w:p>
      <w:pPr>
        <w:pStyle w:val="BodyText"/>
      </w:pPr>
      <w:r>
        <w:t xml:space="preserve">Predicted observables:</w:t>
      </w:r>
    </w:p>
    <w:p>
      <w:pPr>
        <w:numPr>
          <w:ilvl w:val="0"/>
          <w:numId w:val="1004"/>
        </w:numPr>
      </w:pPr>
      <w:r>
        <w:t xml:space="preserve">Modulated ψ amplitude in space and time.</w:t>
      </w:r>
    </w:p>
    <w:p>
      <w:pPr>
        <w:numPr>
          <w:ilvl w:val="0"/>
          <w:numId w:val="1004"/>
        </w:numPr>
      </w:pPr>
      <w:r>
        <w:t xml:space="preserve">Test particles experience oscillatory drift reversal.</w:t>
      </w:r>
    </w:p>
    <w:p>
      <w:pPr>
        <w:numPr>
          <w:ilvl w:val="0"/>
          <w:numId w:val="1004"/>
        </w:numPr>
      </w:pPr>
      <w:r>
        <w:t xml:space="preserve">Detectable as rhythmic clustering and dispersion cycles.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emergent-structures"/>
    <w:p>
      <w:pPr>
        <w:pStyle w:val="Heading2"/>
      </w:pPr>
      <w:r>
        <w:t xml:space="preserve">Emergent Structures</w:t>
      </w:r>
    </w:p>
    <w:bookmarkStart w:id="15" w:name="ψ-wells"/>
    <w:p>
      <w:pPr>
        <w:pStyle w:val="Heading3"/>
      </w:pPr>
      <w:r>
        <w:t xml:space="preserve">ψ Wells</w:t>
      </w:r>
    </w:p>
    <w:p>
      <w:pPr>
        <w:pStyle w:val="FirstParagraph"/>
      </w:pPr>
      <w:r>
        <w:t xml:space="preserve">Nonlinear focusing generates localized depressions: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f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V_eff(x) = (∇²[space(x) + current(x)²]) × ψ(x)</w:t>
      </w:r>
    </w:p>
    <w:p>
      <w:pPr>
        <w:pStyle w:val="BodyText"/>
      </w:pPr>
      <w:r>
        <w:t xml:space="preserve">Predicted behaviors:</w:t>
      </w:r>
    </w:p>
    <w:p>
      <w:pPr>
        <w:numPr>
          <w:ilvl w:val="0"/>
          <w:numId w:val="1005"/>
        </w:numPr>
      </w:pPr>
      <w:r>
        <w:t xml:space="preserve">Long-lived potential wells trapping test particles.</w:t>
      </w:r>
    </w:p>
    <w:p>
      <w:pPr>
        <w:numPr>
          <w:ilvl w:val="0"/>
          <w:numId w:val="1005"/>
        </w:numPr>
      </w:pPr>
      <w:r>
        <w:t xml:space="preserve">Asymmetric ψ shapes when entropy gradients are strong.</w:t>
      </w:r>
    </w:p>
    <w:p>
      <w:pPr>
        <w:numPr>
          <w:ilvl w:val="0"/>
          <w:numId w:val="1005"/>
        </w:numPr>
      </w:pPr>
      <w:r>
        <w:t xml:space="preserve">Stable bound states similar to gravitational orbits.</w:t>
      </w:r>
    </w:p>
    <w:p>
      <w:r>
        <w:pict>
          <v:rect style="width:0;height:1.5pt" o:hralign="center" o:hrstd="t" o:hr="t"/>
        </w:pict>
      </w:r>
    </w:p>
    <w:bookmarkEnd w:id="15"/>
    <w:bookmarkStart w:id="16" w:name="ψ-dunes"/>
    <w:p>
      <w:pPr>
        <w:pStyle w:val="Heading3"/>
      </w:pPr>
      <w:r>
        <w:t xml:space="preserve">ψ Dunes</w:t>
      </w:r>
    </w:p>
    <w:p>
      <w:pPr>
        <w:pStyle w:val="FirstParagraph"/>
      </w:pPr>
      <w:r>
        <w:t xml:space="preserve">When current² dominates, ψ accumulates in dune-like ridges.</w:t>
      </w:r>
    </w:p>
    <w:p>
      <w:pPr>
        <w:pStyle w:val="BodyText"/>
      </w:pPr>
      <w:r>
        <w:t xml:space="preserve">Predicted behaviors:</w:t>
      </w:r>
    </w:p>
    <w:p>
      <w:pPr>
        <w:numPr>
          <w:ilvl w:val="0"/>
          <w:numId w:val="1006"/>
        </w:numPr>
      </w:pPr>
      <w:r>
        <w:t xml:space="preserve">Periodic chain of ψ crests and troughs.</w:t>
      </w:r>
    </w:p>
    <w:p>
      <w:pPr>
        <w:numPr>
          <w:ilvl w:val="0"/>
          <w:numId w:val="1006"/>
        </w:numPr>
      </w:pPr>
      <w:r>
        <w:t xml:space="preserve">Force profile oscillates between attraction and repulsion.</w:t>
      </w:r>
    </w:p>
    <w:p>
      <w:pPr>
        <w:numPr>
          <w:ilvl w:val="0"/>
          <w:numId w:val="1006"/>
        </w:numPr>
      </w:pPr>
      <w:r>
        <w:t xml:space="preserve">Collective drift of test particles resembling “surfing.”</w:t>
      </w:r>
    </w:p>
    <w:p>
      <w:r>
        <w:pict>
          <v:rect style="width:0;height:1.5pt" o:hralign="center" o:hrstd="t" o:hr="t"/>
        </w:pict>
      </w:r>
    </w:p>
    <w:bookmarkEnd w:id="16"/>
    <w:bookmarkStart w:id="17" w:name="soliton-like-pulses"/>
    <w:p>
      <w:pPr>
        <w:pStyle w:val="Heading3"/>
      </w:pPr>
      <w:r>
        <w:t xml:space="preserve">Soliton-Like Pulses</w:t>
      </w:r>
    </w:p>
    <w:p>
      <w:pPr>
        <w:pStyle w:val="FirstParagraph"/>
      </w:pPr>
      <w:r>
        <w:t xml:space="preserve">Balance of dispersion and nonlinearity yields stable ψ packets: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t> </m:t>
          </m:r>
          <m:r>
            <m:rPr>
              <m:sty m:val="p"/>
            </m:rPr>
            <m:t>s</m:t>
          </m:r>
          <m:r>
            <m:rPr>
              <m:sty m:val="p"/>
            </m:rPr>
            <m:t>e</m:t>
          </m:r>
          <m:r>
            <m:rPr>
              <m:sty m:val="p"/>
            </m:rPr>
            <m:t>c</m:t>
          </m:r>
          <m:r>
            <m:rPr>
              <m:sty m:val="p"/>
            </m:rPr>
            <m:t>h</m:t>
          </m:r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r>
                <m:t>κ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v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  <m:r>
            <m:t> 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t>i</m:t>
              </m:r>
              <m:r>
                <m:rPr>
                  <m:sty m:val="p"/>
                </m:rPr>
                <m:t>(</m:t>
              </m:r>
              <m:r>
                <m:t>k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ω</m:t>
              </m:r>
              <m:r>
                <m:t>t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>
      <w:pPr>
        <w:pStyle w:val="FirstParagraph"/>
      </w:pPr>
      <w:r>
        <w:t xml:space="preserve">Plain text: ψ(x,t) = A sech[κ(x − vt)] exp[i(kx − ωt)]</w:t>
      </w:r>
    </w:p>
    <w:p>
      <w:pPr>
        <w:pStyle w:val="BodyText"/>
      </w:pPr>
      <w:r>
        <w:t xml:space="preserve">Predicted observables:</w:t>
      </w:r>
    </w:p>
    <w:p>
      <w:pPr>
        <w:numPr>
          <w:ilvl w:val="0"/>
          <w:numId w:val="1007"/>
        </w:numPr>
      </w:pPr>
      <w:r>
        <w:t xml:space="preserve">Localized, non-dispersing ψ pulses.</w:t>
      </w:r>
    </w:p>
    <w:p>
      <w:pPr>
        <w:numPr>
          <w:ilvl w:val="0"/>
          <w:numId w:val="1007"/>
        </w:numPr>
      </w:pPr>
      <w:r>
        <w:t xml:space="preserve">Test particles “carried” within soliton packet.</w:t>
      </w:r>
    </w:p>
    <w:p>
      <w:pPr>
        <w:numPr>
          <w:ilvl w:val="0"/>
          <w:numId w:val="1007"/>
        </w:numPr>
      </w:pPr>
      <w:r>
        <w:t xml:space="preserve">Possible analogues to gravitational wave bursts.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simulation-ψ-beats-and-emergent-wells"/>
    <w:p>
      <w:pPr>
        <w:pStyle w:val="Heading2"/>
      </w:pPr>
      <w:r>
        <w:t xml:space="preserve">Simulation: ψ Beats and Emergent Wells</w:t>
      </w:r>
    </w:p>
    <w:p>
      <w:pPr>
        <w:pStyle w:val="SourceCode"/>
      </w:pPr>
      <w:r>
        <w:rPr>
          <w:rStyle w:val="CommentTok"/>
        </w:rPr>
        <w:t xml:space="preserve"># simulations/phase11_part2_predictive_signatures.py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fixed time snapshot</w:t>
      </w:r>
      <w:r>
        <w:br/>
      </w:r>
      <w:r>
        <w:br/>
      </w:r>
      <w:r>
        <w:rPr>
          <w:rStyle w:val="CommentTok"/>
        </w:rPr>
        <w:t xml:space="preserve"># Beat wave parameters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omega1, omega2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br/>
      </w:r>
      <w:r>
        <w:br/>
      </w:r>
      <w:r>
        <w:rPr>
          <w:rStyle w:val="CommentTok"/>
        </w:rPr>
        <w:t xml:space="preserve"># ψ-wave superposition (beats)</w:t>
      </w:r>
      <w:r>
        <w:br/>
      </w:r>
      <w:r>
        <w:rPr>
          <w:rStyle w:val="NormalTok"/>
        </w:rPr>
        <w:t xml:space="preserve">psi_wave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np.cos(k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np.cos(k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Emergent ψ well (Gaussian depression)</w:t>
      </w:r>
      <w:r>
        <w:br/>
      </w:r>
      <w:r>
        <w:rPr>
          <w:rStyle w:val="NormalTok"/>
        </w:rPr>
        <w:t xml:space="preserve">psi_well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Combined ψ profile</w:t>
      </w:r>
      <w:r>
        <w:br/>
      </w:r>
      <w:r>
        <w:rPr>
          <w:rStyle w:val="NormalTok"/>
        </w:rPr>
        <w:t xml:space="preserve">psi_total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psi_wave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psi_well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psi_total,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"ψ total (beats + well)"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psi_wave,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"ψ wave (beats)"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psi_well,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"ψ well"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11 – Part 2: Predictive ψ Signatures"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"ψ(x,t)"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2025-09-06T14:28:16Z</dcterms:created>
  <dcterms:modified xsi:type="dcterms:W3CDTF">2025-09-06T14:28:16Z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