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6F0" w14:textId="77777777" w:rsidR="00D47F2B" w:rsidRDefault="00000000">
      <w:pPr>
        <w:pStyle w:val="Heading2"/>
      </w:pPr>
      <w:bookmarkStart w:id="0" w:name="X5715ba8c3e3428f0bbd07b099ac31f095616bd6"/>
      <w:r>
        <w:t># Phase 6 – Part 3: Multi-Particle Interaction &amp; Collective Gravity Fields</w:t>
      </w:r>
    </w:p>
    <w:p w14:paraId="3AC9EBAF" w14:textId="77777777" w:rsidR="00D47F2B" w:rsidRDefault="00000000">
      <w:pPr>
        <w:pStyle w:val="Heading2"/>
      </w:pPr>
      <w:bookmarkStart w:id="1" w:name="purpose"/>
      <w:bookmarkEnd w:id="0"/>
      <w:r>
        <w:t>Purpose</w:t>
      </w:r>
    </w:p>
    <w:p w14:paraId="6F637435" w14:textId="77777777" w:rsidR="00D47F2B" w:rsidRDefault="00000000">
      <w:pPr>
        <w:pStyle w:val="FirstParagraph"/>
      </w:pPr>
      <w:r>
        <w:t>Explore how multiple particles interact through a shared, evolving ψ field, and whether their collective influence on ψ leads to emergent gravitational patterns — including clustering, trench merging, and dynamical structure formation.</w:t>
      </w:r>
    </w:p>
    <w:p w14:paraId="556E1B13" w14:textId="77777777" w:rsidR="00D47F2B" w:rsidRDefault="00000000">
      <w:r>
        <w:pict w14:anchorId="67138C4B">
          <v:rect id="_x0000_i1025" style="width:0;height:1.5pt" o:hralign="center" o:hrstd="t" o:hr="t"/>
        </w:pict>
      </w:r>
    </w:p>
    <w:p w14:paraId="7C11919F" w14:textId="77777777" w:rsidR="00D47F2B" w:rsidRDefault="00000000">
      <w:pPr>
        <w:pStyle w:val="Heading2"/>
      </w:pPr>
      <w:bookmarkStart w:id="2" w:name="core-equations"/>
      <w:bookmarkEnd w:id="1"/>
      <w:r>
        <w:t>Core Equations</w:t>
      </w:r>
    </w:p>
    <w:p w14:paraId="490C8C47" w14:textId="77777777" w:rsidR="00D47F2B" w:rsidRDefault="00000000">
      <w:pPr>
        <w:pStyle w:val="Heading3"/>
      </w:pPr>
      <w:bookmarkStart w:id="3" w:name="gravity-field"/>
      <w:r>
        <w:t>1. Gravity Field</w:t>
      </w:r>
    </w:p>
    <w:p w14:paraId="016E6207" w14:textId="77777777" w:rsidR="00D47F2B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2B35F0B" w14:textId="77777777" w:rsidR="00D47F2B" w:rsidRDefault="00000000">
      <w:pPr>
        <w:pStyle w:val="FirstParagraph"/>
      </w:pPr>
      <w:r>
        <w:t>Plaintext: Gravity(x, t) = Laplacian(space(x) + t²) × ψ(x, t)</w:t>
      </w:r>
    </w:p>
    <w:p w14:paraId="3651DAD3" w14:textId="77777777" w:rsidR="00D47F2B" w:rsidRDefault="00000000">
      <w:r>
        <w:pict w14:anchorId="73F9FB79">
          <v:rect id="_x0000_i1026" style="width:0;height:1.5pt" o:hralign="center" o:hrstd="t" o:hr="t"/>
        </w:pict>
      </w:r>
    </w:p>
    <w:p w14:paraId="7D44ADF8" w14:textId="77777777" w:rsidR="00D47F2B" w:rsidRDefault="00000000">
      <w:pPr>
        <w:pStyle w:val="Heading3"/>
      </w:pPr>
      <w:bookmarkStart w:id="4" w:name="force-field"/>
      <w:bookmarkEnd w:id="3"/>
      <w:r>
        <w:t>2. Force Field</w:t>
      </w:r>
    </w:p>
    <w:p w14:paraId="4ED30877" w14:textId="77777777" w:rsidR="00D47F2B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10F8A35C" w14:textId="77777777" w:rsidR="00D47F2B" w:rsidRDefault="00000000">
      <w:pPr>
        <w:pStyle w:val="FirstParagraph"/>
      </w:pPr>
      <w:r>
        <w:t>Plaintext: Force(x, t) = -Gradient(Gravity(x, t))</w:t>
      </w:r>
    </w:p>
    <w:p w14:paraId="2D9FCA01" w14:textId="77777777" w:rsidR="00D47F2B" w:rsidRDefault="00000000">
      <w:r>
        <w:pict w14:anchorId="5831562E">
          <v:rect id="_x0000_i1027" style="width:0;height:1.5pt" o:hralign="center" o:hrstd="t" o:hr="t"/>
        </w:pict>
      </w:r>
    </w:p>
    <w:p w14:paraId="66154A13" w14:textId="77777777" w:rsidR="00D47F2B" w:rsidRDefault="00000000">
      <w:pPr>
        <w:pStyle w:val="Heading3"/>
      </w:pPr>
      <w:bookmarkStart w:id="5" w:name="X1189d444efefeca18be4dd6f7d88b1e51f2f5cc"/>
      <w:bookmarkEnd w:id="4"/>
      <w:r>
        <w:t>3. ψ Field Evolution with Collective Backreaction</w:t>
      </w:r>
    </w:p>
    <w:p w14:paraId="59C7A034" w14:textId="77777777" w:rsidR="00D47F2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δ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5A59DAE8" w14:textId="77777777" w:rsidR="00D47F2B" w:rsidRDefault="00000000">
      <w:pPr>
        <w:pStyle w:val="FirstParagraph"/>
      </w:pPr>
      <w:r>
        <w:t>Plaintext: ∂ψ/∂t = D × Laplacian(ψ) − ε × sum over particles of delta(x − xi(t))</w:t>
      </w:r>
    </w:p>
    <w:p w14:paraId="442FE553" w14:textId="77777777" w:rsidR="00D47F2B" w:rsidRDefault="00000000">
      <w:r>
        <w:pict w14:anchorId="77C3FB0C">
          <v:rect id="_x0000_i1028" style="width:0;height:1.5pt" o:hralign="center" o:hrstd="t" o:hr="t"/>
        </w:pict>
      </w:r>
    </w:p>
    <w:p w14:paraId="7C7D8255" w14:textId="77777777" w:rsidR="00D47F2B" w:rsidRDefault="00000000">
      <w:pPr>
        <w:pStyle w:val="Heading3"/>
      </w:pPr>
      <w:bookmarkStart w:id="6" w:name="particle-motion"/>
      <w:bookmarkEnd w:id="5"/>
      <w:r>
        <w:t>4. Particle Motion</w:t>
      </w:r>
    </w:p>
    <w:p w14:paraId="75FDE745" w14:textId="77777777" w:rsidR="00D47F2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89E2D97" w14:textId="77777777" w:rsidR="00D47F2B" w:rsidRDefault="00000000">
      <w:pPr>
        <w:pStyle w:val="FirstParagraph"/>
      </w:pPr>
      <w:r>
        <w:t>Plaintext: dx/dt = v(t), dv/dt = Force(x, t)</w:t>
      </w:r>
    </w:p>
    <w:p w14:paraId="5747C682" w14:textId="77777777" w:rsidR="00D47F2B" w:rsidRDefault="00000000">
      <w:r>
        <w:pict w14:anchorId="3483017B">
          <v:rect id="_x0000_i1029" style="width:0;height:1.5pt" o:hralign="center" o:hrstd="t" o:hr="t"/>
        </w:pict>
      </w:r>
    </w:p>
    <w:p w14:paraId="77973C18" w14:textId="77777777" w:rsidR="00D47F2B" w:rsidRDefault="00000000">
      <w:pPr>
        <w:pStyle w:val="Heading2"/>
      </w:pPr>
      <w:bookmarkStart w:id="7" w:name="simulation-configuration"/>
      <w:bookmarkEnd w:id="2"/>
      <w:bookmarkEnd w:id="6"/>
      <w:r>
        <w:t>Simulation Configuration</w:t>
      </w:r>
    </w:p>
    <w:p w14:paraId="7FE960DF" w14:textId="77777777" w:rsidR="00D47F2B" w:rsidRDefault="00000000">
      <w:pPr>
        <w:pStyle w:val="Compact"/>
        <w:numPr>
          <w:ilvl w:val="0"/>
          <w:numId w:val="2"/>
        </w:numPr>
      </w:pPr>
      <w:r>
        <w:t>Space: 1D, range −10 to +10</w:t>
      </w:r>
    </w:p>
    <w:p w14:paraId="37364A77" w14:textId="77777777" w:rsidR="00D47F2B" w:rsidRDefault="00000000">
      <w:pPr>
        <w:pStyle w:val="Compact"/>
        <w:numPr>
          <w:ilvl w:val="0"/>
          <w:numId w:val="2"/>
        </w:numPr>
      </w:pPr>
      <w:r>
        <w:lastRenderedPageBreak/>
        <w:t>ψ Field: Gaussian trench at t = 0</w:t>
      </w:r>
    </w:p>
    <w:p w14:paraId="38D39005" w14:textId="77777777" w:rsidR="00D47F2B" w:rsidRDefault="00000000">
      <w:pPr>
        <w:pStyle w:val="Compact"/>
        <w:numPr>
          <w:ilvl w:val="0"/>
          <w:numId w:val="2"/>
        </w:numPr>
      </w:pPr>
      <w:r>
        <w:t>Particles: 5 particles initialized randomly</w:t>
      </w:r>
    </w:p>
    <w:p w14:paraId="2748F306" w14:textId="77777777" w:rsidR="00D47F2B" w:rsidRDefault="00000000">
      <w:pPr>
        <w:pStyle w:val="Compact"/>
        <w:numPr>
          <w:ilvl w:val="0"/>
          <w:numId w:val="2"/>
        </w:numPr>
      </w:pPr>
      <w:r>
        <w:t>Backreaction: Each particle pulls ψ downward where it moves</w:t>
      </w:r>
    </w:p>
    <w:p w14:paraId="349FF38A" w14:textId="77777777" w:rsidR="00D47F2B" w:rsidRDefault="00000000">
      <w:pPr>
        <w:pStyle w:val="Compact"/>
        <w:numPr>
          <w:ilvl w:val="0"/>
          <w:numId w:val="2"/>
        </w:numPr>
      </w:pPr>
      <w:r>
        <w:t>Evolution Time: 100 steps</w:t>
      </w:r>
    </w:p>
    <w:p w14:paraId="774EBE1C" w14:textId="77777777" w:rsidR="00D47F2B" w:rsidRDefault="00000000">
      <w:pPr>
        <w:pStyle w:val="Compact"/>
        <w:numPr>
          <w:ilvl w:val="0"/>
          <w:numId w:val="2"/>
        </w:numPr>
      </w:pPr>
      <w:r>
        <w:t>Boundaries: Reflective (particles bounce at edges)</w:t>
      </w:r>
    </w:p>
    <w:p w14:paraId="22E0353B" w14:textId="77777777" w:rsidR="00D47F2B" w:rsidRDefault="00000000">
      <w:r>
        <w:pict w14:anchorId="20DCAAEB">
          <v:rect id="_x0000_i1030" style="width:0;height:1.5pt" o:hralign="center" o:hrstd="t" o:hr="t"/>
        </w:pict>
      </w:r>
    </w:p>
    <w:p w14:paraId="0E66D20F" w14:textId="77777777" w:rsidR="00D47F2B" w:rsidRDefault="00000000">
      <w:pPr>
        <w:pStyle w:val="Heading2"/>
      </w:pPr>
      <w:bookmarkStart w:id="8" w:name="results-summary"/>
      <w:bookmarkEnd w:id="7"/>
      <w:r>
        <w:t>Results Summary</w:t>
      </w:r>
    </w:p>
    <w:p w14:paraId="7B4F8762" w14:textId="4938B2D1" w:rsidR="00966A9E" w:rsidRPr="00966A9E" w:rsidRDefault="00966A9E" w:rsidP="00966A9E">
      <w:pPr>
        <w:pStyle w:val="BodyText"/>
      </w:pPr>
      <w:r>
        <w:rPr>
          <w:noProof/>
        </w:rPr>
        <w:drawing>
          <wp:inline distT="0" distB="0" distL="0" distR="0" wp14:anchorId="1F30CA3A" wp14:editId="2DCAE5CB">
            <wp:extent cx="59340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30B7" w14:textId="77777777" w:rsidR="00D47F2B" w:rsidRDefault="00000000">
      <w:pPr>
        <w:pStyle w:val="Heading3"/>
      </w:pPr>
      <w:bookmarkStart w:id="9" w:name="ψx-t-evolution"/>
      <w:r>
        <w:t>ψ(x, t) Evolution</w:t>
      </w:r>
    </w:p>
    <w:p w14:paraId="0B7A96DA" w14:textId="77777777" w:rsidR="00D47F2B" w:rsidRDefault="00000000">
      <w:pPr>
        <w:pStyle w:val="Compact"/>
        <w:numPr>
          <w:ilvl w:val="0"/>
          <w:numId w:val="3"/>
        </w:numPr>
      </w:pPr>
      <w:r>
        <w:t>ψ wells deepen and drift toward regions where particle density is higher.</w:t>
      </w:r>
    </w:p>
    <w:p w14:paraId="78F9EFC6" w14:textId="77777777" w:rsidR="00D47F2B" w:rsidRDefault="00000000">
      <w:pPr>
        <w:pStyle w:val="Compact"/>
        <w:numPr>
          <w:ilvl w:val="0"/>
          <w:numId w:val="3"/>
        </w:numPr>
      </w:pPr>
      <w:r>
        <w:t>Collective feedback: ψ adapts to the “mass trails” left by moving particles.</w:t>
      </w:r>
    </w:p>
    <w:p w14:paraId="2770832E" w14:textId="77777777" w:rsidR="00D47F2B" w:rsidRDefault="00000000">
      <w:r>
        <w:pict w14:anchorId="4C95CE0A">
          <v:rect id="_x0000_i1031" style="width:0;height:1.5pt" o:hralign="center" o:hrstd="t" o:hr="t"/>
        </w:pict>
      </w:r>
    </w:p>
    <w:p w14:paraId="2265461E" w14:textId="77777777" w:rsidR="00D47F2B" w:rsidRDefault="00000000">
      <w:pPr>
        <w:pStyle w:val="Heading3"/>
      </w:pPr>
      <w:bookmarkStart w:id="10" w:name="gravityx-t-field"/>
      <w:bookmarkEnd w:id="9"/>
      <w:r>
        <w:lastRenderedPageBreak/>
        <w:t>Gravity(x, t) Field</w:t>
      </w:r>
    </w:p>
    <w:p w14:paraId="223FAE8A" w14:textId="77777777" w:rsidR="00D47F2B" w:rsidRDefault="00000000">
      <w:pPr>
        <w:pStyle w:val="Compact"/>
        <w:numPr>
          <w:ilvl w:val="0"/>
          <w:numId w:val="4"/>
        </w:numPr>
      </w:pPr>
      <w:r>
        <w:t>Gravity becomes amplified where ψ concentrations increase.</w:t>
      </w:r>
    </w:p>
    <w:p w14:paraId="00179C1C" w14:textId="77777777" w:rsidR="00D47F2B" w:rsidRDefault="00000000">
      <w:pPr>
        <w:pStyle w:val="Compact"/>
        <w:numPr>
          <w:ilvl w:val="0"/>
          <w:numId w:val="4"/>
        </w:numPr>
      </w:pPr>
      <w:r>
        <w:t>Gravity wells form and shift dynamically — not fixed, but self-sustaining through motion-feedback.</w:t>
      </w:r>
    </w:p>
    <w:p w14:paraId="24CC8596" w14:textId="77777777" w:rsidR="00D47F2B" w:rsidRDefault="00000000">
      <w:r>
        <w:pict w14:anchorId="2A0E3937">
          <v:rect id="_x0000_i1032" style="width:0;height:1.5pt" o:hralign="center" o:hrstd="t" o:hr="t"/>
        </w:pict>
      </w:r>
    </w:p>
    <w:p w14:paraId="552D93CC" w14:textId="77777777" w:rsidR="00D47F2B" w:rsidRDefault="00000000">
      <w:pPr>
        <w:pStyle w:val="Heading3"/>
      </w:pPr>
      <w:bookmarkStart w:id="11" w:name="forcex-t"/>
      <w:bookmarkEnd w:id="10"/>
      <w:r>
        <w:t>Force(x, t)</w:t>
      </w:r>
    </w:p>
    <w:p w14:paraId="508BEB73" w14:textId="77777777" w:rsidR="00D47F2B" w:rsidRDefault="00000000">
      <w:pPr>
        <w:pStyle w:val="Compact"/>
        <w:numPr>
          <w:ilvl w:val="0"/>
          <w:numId w:val="5"/>
        </w:numPr>
      </w:pPr>
      <w:r>
        <w:t>Force fields steepen in areas of ψ convergence — stronger “tides” push particles further in.</w:t>
      </w:r>
    </w:p>
    <w:p w14:paraId="22D47BA9" w14:textId="77777777" w:rsidR="00D47F2B" w:rsidRDefault="00000000">
      <w:pPr>
        <w:pStyle w:val="Compact"/>
        <w:numPr>
          <w:ilvl w:val="0"/>
          <w:numId w:val="5"/>
        </w:numPr>
      </w:pPr>
      <w:r>
        <w:t>Self-reinforcing loops: particles shape ψ, which steepens Gravity, which increases Force on particles.</w:t>
      </w:r>
    </w:p>
    <w:p w14:paraId="4C98D6EA" w14:textId="77777777" w:rsidR="00D47F2B" w:rsidRDefault="00000000">
      <w:r>
        <w:pict w14:anchorId="7EB5B5D0">
          <v:rect id="_x0000_i1033" style="width:0;height:1.5pt" o:hralign="center" o:hrstd="t" o:hr="t"/>
        </w:pict>
      </w:r>
    </w:p>
    <w:p w14:paraId="1E79A4A7" w14:textId="77777777" w:rsidR="00D47F2B" w:rsidRDefault="00000000">
      <w:pPr>
        <w:pStyle w:val="Heading3"/>
      </w:pPr>
      <w:bookmarkStart w:id="12" w:name="particle-trajectories"/>
      <w:bookmarkEnd w:id="11"/>
      <w:r>
        <w:t>Particle Trajectories</w:t>
      </w:r>
    </w:p>
    <w:p w14:paraId="3BAE65BF" w14:textId="77777777" w:rsidR="00D47F2B" w:rsidRDefault="00000000">
      <w:pPr>
        <w:pStyle w:val="Compact"/>
        <w:numPr>
          <w:ilvl w:val="0"/>
          <w:numId w:val="6"/>
        </w:numPr>
      </w:pPr>
      <w:r>
        <w:t>Some particles cluster together — caught in dynamically forming ψ trenches.</w:t>
      </w:r>
    </w:p>
    <w:p w14:paraId="2C822A61" w14:textId="77777777" w:rsidR="00D47F2B" w:rsidRDefault="00000000">
      <w:pPr>
        <w:pStyle w:val="Compact"/>
        <w:numPr>
          <w:ilvl w:val="0"/>
          <w:numId w:val="6"/>
        </w:numPr>
      </w:pPr>
      <w:r>
        <w:t>Others oscillate, fall into temporary wells, or get reflected at edges.</w:t>
      </w:r>
    </w:p>
    <w:p w14:paraId="18A0847C" w14:textId="77777777" w:rsidR="00D47F2B" w:rsidRDefault="00000000">
      <w:pPr>
        <w:pStyle w:val="Compact"/>
        <w:numPr>
          <w:ilvl w:val="0"/>
          <w:numId w:val="6"/>
        </w:numPr>
      </w:pPr>
      <w:r>
        <w:t>A few stabilize into quasi-stationary basins.</w:t>
      </w:r>
    </w:p>
    <w:p w14:paraId="61075A31" w14:textId="77777777" w:rsidR="00D47F2B" w:rsidRDefault="00000000">
      <w:r>
        <w:pict w14:anchorId="1C0CEDAB">
          <v:rect id="_x0000_i1034" style="width:0;height:1.5pt" o:hralign="center" o:hrstd="t" o:hr="t"/>
        </w:pict>
      </w:r>
    </w:p>
    <w:p w14:paraId="721BFF23" w14:textId="77777777" w:rsidR="00D47F2B" w:rsidRDefault="00000000">
      <w:pPr>
        <w:pStyle w:val="Heading2"/>
      </w:pPr>
      <w:bookmarkStart w:id="13" w:name="ocean-analogy-refreshed"/>
      <w:bookmarkEnd w:id="8"/>
      <w:bookmarkEnd w:id="12"/>
      <w:r>
        <w:t>Ocean Analogy Refreshed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05"/>
        <w:gridCol w:w="6471"/>
      </w:tblGrid>
      <w:tr w:rsidR="00D47F2B" w14:paraId="6526A816" w14:textId="77777777" w:rsidTr="00D47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68" w:type="dxa"/>
          </w:tcPr>
          <w:p w14:paraId="3717CCCA" w14:textId="77777777" w:rsidR="00D47F2B" w:rsidRDefault="00000000">
            <w:pPr>
              <w:pStyle w:val="Compact"/>
            </w:pPr>
            <w:r>
              <w:t>Analogy Element</w:t>
            </w:r>
          </w:p>
        </w:tc>
        <w:tc>
          <w:tcPr>
            <w:tcW w:w="5351" w:type="dxa"/>
          </w:tcPr>
          <w:p w14:paraId="27182A97" w14:textId="77777777" w:rsidR="00D47F2B" w:rsidRDefault="00000000">
            <w:pPr>
              <w:pStyle w:val="Compact"/>
            </w:pPr>
            <w:r>
              <w:t>Representation</w:t>
            </w:r>
          </w:p>
        </w:tc>
      </w:tr>
      <w:tr w:rsidR="00D47F2B" w14:paraId="6715D350" w14:textId="77777777">
        <w:tc>
          <w:tcPr>
            <w:tcW w:w="2568" w:type="dxa"/>
          </w:tcPr>
          <w:p w14:paraId="170B4DE7" w14:textId="77777777" w:rsidR="00D47F2B" w:rsidRDefault="00000000">
            <w:pPr>
              <w:pStyle w:val="Compact"/>
            </w:pPr>
            <w:r>
              <w:t>Ocean bed</w:t>
            </w:r>
          </w:p>
        </w:tc>
        <w:tc>
          <w:tcPr>
            <w:tcW w:w="5351" w:type="dxa"/>
          </w:tcPr>
          <w:p w14:paraId="27B85EB3" w14:textId="77777777" w:rsidR="00D47F2B" w:rsidRDefault="00000000">
            <w:pPr>
              <w:pStyle w:val="Compact"/>
            </w:pPr>
            <w:r>
              <w:t>ψ(x, t) – deformable substrate</w:t>
            </w:r>
          </w:p>
        </w:tc>
      </w:tr>
      <w:tr w:rsidR="00D47F2B" w14:paraId="2F1BAB27" w14:textId="77777777">
        <w:tc>
          <w:tcPr>
            <w:tcW w:w="2568" w:type="dxa"/>
          </w:tcPr>
          <w:p w14:paraId="4B589F8B" w14:textId="77777777" w:rsidR="00D47F2B" w:rsidRDefault="00000000">
            <w:pPr>
              <w:pStyle w:val="Compact"/>
            </w:pPr>
            <w:r>
              <w:t>Water</w:t>
            </w:r>
          </w:p>
        </w:tc>
        <w:tc>
          <w:tcPr>
            <w:tcW w:w="5351" w:type="dxa"/>
          </w:tcPr>
          <w:p w14:paraId="21ED7E86" w14:textId="77777777" w:rsidR="00D47F2B" w:rsidRDefault="00000000">
            <w:pPr>
              <w:pStyle w:val="Compact"/>
            </w:pPr>
            <w:r>
              <w:t>Space</w:t>
            </w:r>
          </w:p>
        </w:tc>
      </w:tr>
      <w:tr w:rsidR="00D47F2B" w14:paraId="501B80DA" w14:textId="77777777">
        <w:tc>
          <w:tcPr>
            <w:tcW w:w="2568" w:type="dxa"/>
          </w:tcPr>
          <w:p w14:paraId="5381D427" w14:textId="77777777" w:rsidR="00D47F2B" w:rsidRDefault="00000000">
            <w:pPr>
              <w:pStyle w:val="Compact"/>
            </w:pPr>
            <w:r>
              <w:t>Current</w:t>
            </w:r>
          </w:p>
        </w:tc>
        <w:tc>
          <w:tcPr>
            <w:tcW w:w="5351" w:type="dxa"/>
          </w:tcPr>
          <w:p w14:paraId="36B4C5F8" w14:textId="77777777" w:rsidR="00D47F2B" w:rsidRDefault="00000000">
            <w:pPr>
              <w:pStyle w:val="Compact"/>
            </w:pPr>
            <w:r>
              <w:t>Time</w:t>
            </w:r>
          </w:p>
        </w:tc>
      </w:tr>
      <w:tr w:rsidR="00D47F2B" w14:paraId="742AE5ED" w14:textId="77777777">
        <w:tc>
          <w:tcPr>
            <w:tcW w:w="2568" w:type="dxa"/>
          </w:tcPr>
          <w:p w14:paraId="4A2B0928" w14:textId="77777777" w:rsidR="00D47F2B" w:rsidRDefault="00000000">
            <w:pPr>
              <w:pStyle w:val="Compact"/>
            </w:pPr>
            <w:r>
              <w:t>Pressure</w:t>
            </w:r>
          </w:p>
        </w:tc>
        <w:tc>
          <w:tcPr>
            <w:tcW w:w="5351" w:type="dxa"/>
          </w:tcPr>
          <w:p w14:paraId="700B14D3" w14:textId="77777777" w:rsidR="00D47F2B" w:rsidRDefault="00000000">
            <w:pPr>
              <w:pStyle w:val="Compact"/>
            </w:pPr>
            <w:r>
              <w:t>Gravity(x, t)</w:t>
            </w:r>
          </w:p>
        </w:tc>
      </w:tr>
      <w:tr w:rsidR="00D47F2B" w14:paraId="61FB7A0F" w14:textId="77777777">
        <w:tc>
          <w:tcPr>
            <w:tcW w:w="2568" w:type="dxa"/>
          </w:tcPr>
          <w:p w14:paraId="2CC397EE" w14:textId="77777777" w:rsidR="00D47F2B" w:rsidRDefault="00000000">
            <w:pPr>
              <w:pStyle w:val="Compact"/>
            </w:pPr>
            <w:r>
              <w:t>Tides</w:t>
            </w:r>
          </w:p>
        </w:tc>
        <w:tc>
          <w:tcPr>
            <w:tcW w:w="5351" w:type="dxa"/>
          </w:tcPr>
          <w:p w14:paraId="66A84F6A" w14:textId="77777777" w:rsidR="00D47F2B" w:rsidRDefault="00000000">
            <w:pPr>
              <w:pStyle w:val="Compact"/>
            </w:pPr>
            <w:r>
              <w:t>Force(x, t)</w:t>
            </w:r>
          </w:p>
        </w:tc>
      </w:tr>
      <w:tr w:rsidR="00D47F2B" w14:paraId="790FBD55" w14:textId="77777777">
        <w:tc>
          <w:tcPr>
            <w:tcW w:w="2568" w:type="dxa"/>
          </w:tcPr>
          <w:p w14:paraId="07868884" w14:textId="77777777" w:rsidR="00D47F2B" w:rsidRDefault="00000000">
            <w:pPr>
              <w:pStyle w:val="Compact"/>
            </w:pPr>
            <w:r>
              <w:t>Fish</w:t>
            </w:r>
          </w:p>
        </w:tc>
        <w:tc>
          <w:tcPr>
            <w:tcW w:w="5351" w:type="dxa"/>
          </w:tcPr>
          <w:p w14:paraId="4F2FD51E" w14:textId="77777777" w:rsidR="00D47F2B" w:rsidRDefault="00000000">
            <w:pPr>
              <w:pStyle w:val="Compact"/>
            </w:pPr>
            <w:r>
              <w:t>Particles</w:t>
            </w:r>
          </w:p>
        </w:tc>
      </w:tr>
      <w:tr w:rsidR="00D47F2B" w14:paraId="0DB34DD8" w14:textId="77777777">
        <w:tc>
          <w:tcPr>
            <w:tcW w:w="2568" w:type="dxa"/>
          </w:tcPr>
          <w:p w14:paraId="6BDF531F" w14:textId="77777777" w:rsidR="00D47F2B" w:rsidRDefault="00000000">
            <w:pPr>
              <w:pStyle w:val="Compact"/>
            </w:pPr>
            <w:r>
              <w:t>Rippling sea floor</w:t>
            </w:r>
          </w:p>
        </w:tc>
        <w:tc>
          <w:tcPr>
            <w:tcW w:w="5351" w:type="dxa"/>
          </w:tcPr>
          <w:p w14:paraId="7184C62B" w14:textId="77777777" w:rsidR="00D47F2B" w:rsidRDefault="00000000">
            <w:pPr>
              <w:pStyle w:val="Compact"/>
            </w:pPr>
            <w:r>
              <w:t>ψ evolution due to backreaction</w:t>
            </w:r>
          </w:p>
        </w:tc>
      </w:tr>
    </w:tbl>
    <w:p w14:paraId="32BE1270" w14:textId="77777777" w:rsidR="00D47F2B" w:rsidRDefault="00000000">
      <w:pPr>
        <w:pStyle w:val="BodyText"/>
      </w:pPr>
      <w:r>
        <w:t>Now the “fish” reshape the seabed as they swim — a feedback loop.</w:t>
      </w:r>
    </w:p>
    <w:p w14:paraId="40D62AA7" w14:textId="77777777" w:rsidR="00D47F2B" w:rsidRDefault="00000000">
      <w:r>
        <w:pict w14:anchorId="37066B66">
          <v:rect id="_x0000_i1035" style="width:0;height:1.5pt" o:hralign="center" o:hrstd="t" o:hr="t"/>
        </w:pict>
      </w:r>
    </w:p>
    <w:p w14:paraId="732F2BF2" w14:textId="77777777" w:rsidR="00D47F2B" w:rsidRDefault="00000000">
      <w:pPr>
        <w:pStyle w:val="Heading2"/>
      </w:pPr>
      <w:bookmarkStart w:id="14" w:name="insights-implications"/>
      <w:bookmarkEnd w:id="13"/>
      <w:r>
        <w:t>Insights &amp; Implications</w:t>
      </w:r>
    </w:p>
    <w:p w14:paraId="73B5D69A" w14:textId="77777777" w:rsidR="00D47F2B" w:rsidRDefault="00000000">
      <w:pPr>
        <w:pStyle w:val="Compact"/>
        <w:numPr>
          <w:ilvl w:val="0"/>
          <w:numId w:val="7"/>
        </w:numPr>
      </w:pPr>
      <w:r>
        <w:t>Attractor Formation: ψ tends to sharpen where particles dwell.</w:t>
      </w:r>
    </w:p>
    <w:p w14:paraId="21F6BD2B" w14:textId="77777777" w:rsidR="00D47F2B" w:rsidRDefault="00000000">
      <w:pPr>
        <w:pStyle w:val="Compact"/>
        <w:numPr>
          <w:ilvl w:val="0"/>
          <w:numId w:val="7"/>
        </w:numPr>
      </w:pPr>
      <w:r>
        <w:t>Emergent Clusters: Self-trapped particle systems arise from shared feedback.</w:t>
      </w:r>
    </w:p>
    <w:p w14:paraId="11C3F1C4" w14:textId="77777777" w:rsidR="00D47F2B" w:rsidRDefault="00000000">
      <w:pPr>
        <w:pStyle w:val="Compact"/>
        <w:numPr>
          <w:ilvl w:val="0"/>
          <w:numId w:val="7"/>
        </w:numPr>
      </w:pPr>
      <w:r>
        <w:t>ψ as Collective Memory: The field now stores where particles have been — hinting at memory, coherence, and possible quantization seeds.</w:t>
      </w:r>
    </w:p>
    <w:p w14:paraId="251EA932" w14:textId="77777777" w:rsidR="00D47F2B" w:rsidRDefault="00000000">
      <w:r>
        <w:pict w14:anchorId="0C52FD54">
          <v:rect id="_x0000_i1036" style="width:0;height:1.5pt" o:hralign="center" o:hrstd="t" o:hr="t"/>
        </w:pict>
      </w:r>
    </w:p>
    <w:p w14:paraId="244DB776" w14:textId="77777777" w:rsidR="00D47F2B" w:rsidRDefault="00000000">
      <w:pPr>
        <w:pStyle w:val="Heading2"/>
      </w:pPr>
      <w:bookmarkStart w:id="15" w:name="challenges-ahead"/>
      <w:bookmarkEnd w:id="14"/>
      <w:r>
        <w:lastRenderedPageBreak/>
        <w:t>Challenges Ahead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75"/>
        <w:gridCol w:w="6801"/>
      </w:tblGrid>
      <w:tr w:rsidR="00D47F2B" w14:paraId="271E859E" w14:textId="77777777" w:rsidTr="00D47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95" w:type="dxa"/>
          </w:tcPr>
          <w:p w14:paraId="5483EA9B" w14:textId="77777777" w:rsidR="00D47F2B" w:rsidRDefault="00000000">
            <w:pPr>
              <w:pStyle w:val="Compact"/>
            </w:pPr>
            <w:r>
              <w:t>Feature</w:t>
            </w:r>
          </w:p>
        </w:tc>
        <w:tc>
          <w:tcPr>
            <w:tcW w:w="5624" w:type="dxa"/>
          </w:tcPr>
          <w:p w14:paraId="63CC13C0" w14:textId="77777777" w:rsidR="00D47F2B" w:rsidRDefault="00000000">
            <w:pPr>
              <w:pStyle w:val="Compact"/>
            </w:pPr>
            <w:r>
              <w:t>Challenge</w:t>
            </w:r>
          </w:p>
        </w:tc>
      </w:tr>
      <w:tr w:rsidR="00D47F2B" w14:paraId="4A80C1EA" w14:textId="77777777">
        <w:tc>
          <w:tcPr>
            <w:tcW w:w="2295" w:type="dxa"/>
          </w:tcPr>
          <w:p w14:paraId="58F8C235" w14:textId="77777777" w:rsidR="00D47F2B" w:rsidRDefault="00000000">
            <w:pPr>
              <w:pStyle w:val="Compact"/>
            </w:pPr>
            <w:r>
              <w:t>Backreaction</w:t>
            </w:r>
          </w:p>
        </w:tc>
        <w:tc>
          <w:tcPr>
            <w:tcW w:w="5624" w:type="dxa"/>
          </w:tcPr>
          <w:p w14:paraId="5A3F53DA" w14:textId="77777777" w:rsidR="00D47F2B" w:rsidRDefault="00000000">
            <w:pPr>
              <w:pStyle w:val="Compact"/>
            </w:pPr>
            <w:r>
              <w:t>Can cause runaway deepening of ψ wells</w:t>
            </w:r>
          </w:p>
        </w:tc>
      </w:tr>
      <w:tr w:rsidR="00D47F2B" w14:paraId="4B8E1AFC" w14:textId="77777777">
        <w:tc>
          <w:tcPr>
            <w:tcW w:w="2295" w:type="dxa"/>
          </w:tcPr>
          <w:p w14:paraId="489C012E" w14:textId="77777777" w:rsidR="00D47F2B" w:rsidRDefault="00000000">
            <w:pPr>
              <w:pStyle w:val="Compact"/>
            </w:pPr>
            <w:r>
              <w:t>Numerical Stability</w:t>
            </w:r>
          </w:p>
        </w:tc>
        <w:tc>
          <w:tcPr>
            <w:tcW w:w="5624" w:type="dxa"/>
          </w:tcPr>
          <w:p w14:paraId="23E60D04" w14:textId="77777777" w:rsidR="00D47F2B" w:rsidRDefault="00000000">
            <w:pPr>
              <w:pStyle w:val="Compact"/>
            </w:pPr>
            <w:r>
              <w:t>Requires small time steps to prevent blowups</w:t>
            </w:r>
          </w:p>
        </w:tc>
      </w:tr>
      <w:tr w:rsidR="00D47F2B" w14:paraId="6E835239" w14:textId="77777777">
        <w:tc>
          <w:tcPr>
            <w:tcW w:w="2295" w:type="dxa"/>
          </w:tcPr>
          <w:p w14:paraId="25AE08CB" w14:textId="77777777" w:rsidR="00D47F2B" w:rsidRDefault="00000000">
            <w:pPr>
              <w:pStyle w:val="Compact"/>
            </w:pPr>
            <w:r>
              <w:t>Realism</w:t>
            </w:r>
          </w:p>
        </w:tc>
        <w:tc>
          <w:tcPr>
            <w:tcW w:w="5624" w:type="dxa"/>
          </w:tcPr>
          <w:p w14:paraId="20942605" w14:textId="77777777" w:rsidR="00D47F2B" w:rsidRDefault="00000000">
            <w:pPr>
              <w:pStyle w:val="Compact"/>
            </w:pPr>
            <w:r>
              <w:t>Need to extend beyond Dirac δ coupling</w:t>
            </w:r>
          </w:p>
        </w:tc>
      </w:tr>
      <w:tr w:rsidR="00D47F2B" w14:paraId="47EFE7E4" w14:textId="77777777">
        <w:tc>
          <w:tcPr>
            <w:tcW w:w="2295" w:type="dxa"/>
          </w:tcPr>
          <w:p w14:paraId="3EF64EB1" w14:textId="77777777" w:rsidR="00D47F2B" w:rsidRDefault="00000000">
            <w:pPr>
              <w:pStyle w:val="Compact"/>
            </w:pPr>
            <w:r>
              <w:t>Interaction Range</w:t>
            </w:r>
          </w:p>
        </w:tc>
        <w:tc>
          <w:tcPr>
            <w:tcW w:w="5624" w:type="dxa"/>
          </w:tcPr>
          <w:p w14:paraId="0A35AB0E" w14:textId="77777777" w:rsidR="00D47F2B" w:rsidRDefault="00000000">
            <w:pPr>
              <w:pStyle w:val="Compact"/>
            </w:pPr>
            <w:r>
              <w:t>ψ is still short-ranged without smoothing</w:t>
            </w:r>
          </w:p>
        </w:tc>
      </w:tr>
    </w:tbl>
    <w:p w14:paraId="599FEB52" w14:textId="77777777" w:rsidR="00D47F2B" w:rsidRDefault="00000000">
      <w:r>
        <w:pict w14:anchorId="66CD27C0">
          <v:rect id="_x0000_i1037" style="width:0;height:1.5pt" o:hralign="center" o:hrstd="t" o:hr="t"/>
        </w:pict>
      </w:r>
      <w:bookmarkEnd w:id="15"/>
    </w:p>
    <w:sectPr w:rsidR="00D47F2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BEEFD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8584B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83389463">
    <w:abstractNumId w:val="0"/>
  </w:num>
  <w:num w:numId="2" w16cid:durableId="2061703415">
    <w:abstractNumId w:val="1"/>
  </w:num>
  <w:num w:numId="3" w16cid:durableId="519197218">
    <w:abstractNumId w:val="1"/>
  </w:num>
  <w:num w:numId="4" w16cid:durableId="1713071482">
    <w:abstractNumId w:val="1"/>
  </w:num>
  <w:num w:numId="5" w16cid:durableId="1475023007">
    <w:abstractNumId w:val="1"/>
  </w:num>
  <w:num w:numId="6" w16cid:durableId="792987767">
    <w:abstractNumId w:val="1"/>
  </w:num>
  <w:num w:numId="7" w16cid:durableId="28720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F2B"/>
    <w:rsid w:val="005378E6"/>
    <w:rsid w:val="00966A9E"/>
    <w:rsid w:val="00D4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F0DD"/>
  <w15:docId w15:val="{54550A1E-0D1C-4E1F-9C34-9387F283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2025-08-30T08:40:00Z</dcterms:created>
  <dcterms:modified xsi:type="dcterms:W3CDTF">2025-08-30T08:43:00Z</dcterms:modified>
</cp:coreProperties>
</file>