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TBA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BOM: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Smartphone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Infrared Sensor (MS Kinect); 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Ultrasonic Sensor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Headset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Headset Circuit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In-ear headphones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Connector Cable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Depth information gathered by sensor, in Headset Circuit 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is passed from headset to smartphone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is processed by smartphone,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Audio data sent from smartphone to user through headphones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