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color w:val="434343"/>
          <w:sz w:val="68"/>
          <w:szCs w:val="68"/>
          <w:rtl w:val="0"/>
        </w:rPr>
        <w:t xml:space="preserve">SEES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434343"/>
          <w:sz w:val="24"/>
          <w:szCs w:val="24"/>
          <w:rtl w:val="0"/>
        </w:rPr>
        <w:t xml:space="preserve">Spatial Echolocation Enhancement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gjdgxs" w:id="0"/>
      <w:bookmarkEnd w:id="0"/>
      <w:r w:rsidDel="00000000" w:rsidR="00000000" w:rsidRPr="00000000">
        <w:rPr>
          <w:rFonts w:ascii="Cambria" w:cs="Cambria" w:eastAsia="Cambria" w:hAnsi="Cambria"/>
          <w:b w:val="1"/>
          <w:rtl w:val="0"/>
        </w:rPr>
        <w:t xml:space="preserve">Work Log and Milestone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University of Victoria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CENG/ELEC/SENG 499 Summer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Design Team 27</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Supervisor : Dr. Gebali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Daniel Faulkner</w:t>
        <w:tab/>
        <w:tab/>
        <w:t xml:space="preserve">- V00778450</w:t>
        <w:tab/>
        <w:tab/>
        <w:t xml:space="preserve">- SENG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Jason Lim </w:t>
        <w:tab/>
        <w:tab/>
        <w:t xml:space="preserve">- V00785426</w:t>
        <w:tab/>
        <w:tab/>
        <w:t xml:space="preserve">- SENG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Rajpal Chauhan </w:t>
        <w:tab/>
        <w:tab/>
        <w:t xml:space="preserve">- V00762290</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John Delorme</w:t>
        <w:tab/>
        <w:tab/>
        <w:t xml:space="preserve">- V00733268</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Ian Brown</w:t>
        <w:tab/>
        <w:tab/>
        <w:t xml:space="preserve">- V00730581</w:t>
        <w:tab/>
        <w:tab/>
        <w:t xml:space="preserve">- SENG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ip388avarvn" w:id="1"/>
      <w:bookmarkEnd w:id="1"/>
      <w:r w:rsidDel="00000000" w:rsidR="00000000" w:rsidRPr="00000000">
        <w:rPr>
          <w:rtl w:val="0"/>
        </w:rPr>
        <w:t xml:space="preserve">Milestone Summary</w:t>
      </w:r>
    </w:p>
    <w:p w:rsidR="00000000" w:rsidDel="00000000" w:rsidP="00000000" w:rsidRDefault="00000000" w:rsidRPr="00000000">
      <w:pPr>
        <w:contextualSpacing w:val="0"/>
      </w:pPr>
      <w:r w:rsidDel="00000000" w:rsidR="00000000" w:rsidRPr="00000000">
        <w:rPr>
          <w:rtl w:val="0"/>
        </w:rPr>
        <w:t xml:space="preserve">The revised objective of this milestone upon discovering through mobile software investigations that the Kinect would not easily run on a regular Android smartphone was to refine and finalize the software and hardware design, and to integrate the system design with the original prototype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software side, research into achieving successful communication between an Android smartphone and the Kinect proved unfruitful (as outlined in detail in Progress Report 2), causing a shift in the milestone plans. The system was instead integrated into the prototype software simulation from 399, producing a working software prototype for converting real world distance to objects into binaural audio. The audio signalling model responsible for this underwent a number of iterations, reacting to anomalies in real world signals in order to improve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hardware, the teardown of the Microsoft Kinect proceeded smoothly after the necessary tools were obtained. The Kinect was striped down to the framework and all unnecessary part such as the microphones, fan and servomotor were removed. Further research was done into the power supply and data inputs of the awkward Kinect plug. This has both 5V and 12V supply for different parts of the system. The goal being to supply the Kinect through a single USB port became unrealistic. The Kinect can be rewired to have a USB and power adapter, however these are already commercially available for the Kinect. The problem with the commercial product is that it requires a wall outlet, the kinect could be made mobile through rewiring and a portable power supply.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925"/>
        <w:gridCol w:w="3315"/>
        <w:gridCol w:w="1560"/>
        <w:tblGridChange w:id="0">
          <w:tblGrid>
            <w:gridCol w:w="1560"/>
            <w:gridCol w:w="2925"/>
            <w:gridCol w:w="3315"/>
            <w:gridCol w:w="1560"/>
          </w:tblGrid>
        </w:tblGridChange>
      </w:tblGrid>
      <w:tr>
        <w:tc>
          <w:tcPr>
            <w:gridSpan w:val="2"/>
            <w:tcBorders>
              <w:top w:color="000000" w:space="0" w:sz="6" w:val="single"/>
              <w:left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pPr>
            <w:r w:rsidDel="00000000" w:rsidR="00000000" w:rsidRPr="00000000">
              <w:rPr>
                <w:b w:val="1"/>
                <w:i w:val="1"/>
                <w:color w:val="76a5af"/>
                <w:sz w:val="20"/>
                <w:szCs w:val="20"/>
                <w:rtl w:val="0"/>
              </w:rPr>
              <w:t xml:space="preserve">ORIGINAL Milestone 3: System Refinement &amp; User Testing</w:t>
            </w:r>
            <w:r w:rsidDel="00000000" w:rsidR="00000000" w:rsidRPr="00000000">
              <w:rPr>
                <w:rtl w:val="0"/>
              </w:rPr>
            </w:r>
          </w:p>
        </w:tc>
        <w:tc>
          <w:tcPr>
            <w:gridSpan w:val="2"/>
            <w:tcBorders>
              <w:top w:color="000000" w:space="0" w:sz="6" w:val="single"/>
              <w:left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pPr>
            <w:r w:rsidDel="00000000" w:rsidR="00000000" w:rsidRPr="00000000">
              <w:rPr>
                <w:b w:val="1"/>
                <w:color w:val="134f5c"/>
                <w:sz w:val="20"/>
                <w:szCs w:val="20"/>
                <w:rtl w:val="0"/>
              </w:rPr>
              <w:t xml:space="preserve">REVISED Milestone 3: System Definition Finalization &amp; Refinement</w:t>
            </w:r>
            <w:r w:rsidDel="00000000" w:rsidR="00000000" w:rsidRPr="00000000">
              <w:rPr>
                <w:rtl w:val="0"/>
              </w:rPr>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i w:val="1"/>
                <w:color w:val="666666"/>
                <w:sz w:val="20"/>
                <w:szCs w:val="20"/>
                <w:rtl w:val="0"/>
              </w:rPr>
              <w:t xml:space="preserve">Iterate on Audio Signalling Model</w:t>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Iterate on Audio Signalling Model</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i w:val="1"/>
                <w:color w:val="666666"/>
                <w:sz w:val="20"/>
                <w:szCs w:val="20"/>
                <w:rtl w:val="0"/>
              </w:rPr>
              <w:t xml:space="preserve">Migrate System to Mobile</w:t>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Mobile Investigation</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i w:val="1"/>
                <w:color w:val="666666"/>
                <w:sz w:val="20"/>
                <w:szCs w:val="20"/>
                <w:rtl w:val="0"/>
              </w:rPr>
              <w:t xml:space="preserve">Design User Test Protocol</w:t>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Project Prototype Design Finalization</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i w:val="1"/>
                <w:color w:val="666666"/>
                <w:sz w:val="20"/>
                <w:szCs w:val="20"/>
                <w:rtl w:val="0"/>
              </w:rPr>
              <w:t xml:space="preserve">User Testing</w:t>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Integrating System With Prototype Software</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i w:val="1"/>
                <w:color w:val="666666"/>
                <w:sz w:val="20"/>
                <w:szCs w:val="20"/>
                <w:rtl w:val="0"/>
              </w:rPr>
              <w:t xml:space="preserve">Milestone Deliverables:</w:t>
            </w:r>
            <w:r w:rsidDel="00000000" w:rsidR="00000000" w:rsidRPr="00000000">
              <w:rPr>
                <w:rtl w:val="0"/>
              </w:rPr>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Milestone Deliverables:</w:t>
            </w:r>
            <w:r w:rsidDel="00000000" w:rsidR="00000000" w:rsidRPr="00000000">
              <w:rPr>
                <w:rtl w:val="0"/>
              </w:rPr>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i w:val="1"/>
                <w:color w:val="666666"/>
                <w:sz w:val="20"/>
                <w:szCs w:val="20"/>
                <w:rtl w:val="0"/>
              </w:rPr>
              <w:t xml:space="preserve">Progress Report 2</w:t>
            </w:r>
          </w:p>
        </w:tc>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Progress Report 2</w:t>
            </w:r>
          </w:p>
        </w:tc>
      </w:tr>
    </w:tbl>
    <w:p w:rsidR="00000000" w:rsidDel="00000000" w:rsidP="00000000" w:rsidRDefault="00000000" w:rsidRPr="00000000">
      <w:pPr>
        <w:pStyle w:val="Heading2"/>
        <w:contextualSpacing w:val="0"/>
      </w:pPr>
      <w:bookmarkStart w:colFirst="0" w:colLast="0" w:name="h.gnfcqskdsb6u"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96tllxtv6h1" w:id="3"/>
      <w:bookmarkEnd w:id="3"/>
      <w:r w:rsidDel="00000000" w:rsidR="00000000" w:rsidRPr="00000000">
        <w:rPr>
          <w:rtl w:val="0"/>
        </w:rPr>
        <w:t xml:space="preserve">Work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Daniel Faulkner</w:t>
      </w:r>
      <w:r w:rsidDel="00000000" w:rsidR="00000000" w:rsidRPr="00000000">
        <w:rPr>
          <w:rtl w:val="0"/>
        </w:rPr>
      </w:r>
    </w:p>
    <w:tbl>
      <w:tblPr>
        <w:tblStyle w:val="Table2"/>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OpenNI work - compiling older OpenNI and open Kinect drivers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OpenNI work - attempt to run Kinect on Android; USBFS on Android investigation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OpenNI work - last attempts to get a simple program working for communicating with the Kinect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Setting up Unity project on computer; progress report work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Jason Lim</w:t>
      </w:r>
      <w:r w:rsidDel="00000000" w:rsidR="00000000" w:rsidRPr="00000000">
        <w:rPr>
          <w:rtl w:val="0"/>
        </w:rPr>
      </w:r>
    </w:p>
    <w:tbl>
      <w:tblPr>
        <w:tblStyle w:val="Table3"/>
        <w:bidi w:val="0"/>
        <w:tblW w:w="8865.0" w:type="dxa"/>
        <w:jc w:val="left"/>
        <w:tblInd w:w="-40.0" w:type="dxa"/>
        <w:tblLayout w:type="fixed"/>
        <w:tblLook w:val="0600"/>
      </w:tblPr>
      <w:tblGrid>
        <w:gridCol w:w="1785"/>
        <w:gridCol w:w="1050"/>
        <w:gridCol w:w="6030"/>
        <w:tblGridChange w:id="0">
          <w:tblGrid>
            <w:gridCol w:w="1785"/>
            <w:gridCol w:w="1050"/>
            <w:gridCol w:w="603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Depth Image Processing System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Depth Image Processing System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Software Signalling Model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Intel Near Field Depth Camera Solicitation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27-JUN-2015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Software Signalling Model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Rajpal Chauhan</w:t>
      </w:r>
      <w:r w:rsidDel="00000000" w:rsidR="00000000" w:rsidRPr="00000000">
        <w:rPr>
          <w:rtl w:val="0"/>
        </w:rPr>
      </w:r>
    </w:p>
    <w:tbl>
      <w:tblPr>
        <w:tblStyle w:val="Table4"/>
        <w:bidi w:val="0"/>
        <w:tblW w:w="8865.0" w:type="dxa"/>
        <w:jc w:val="left"/>
        <w:tblInd w:w="-40.0" w:type="dxa"/>
        <w:tblLayout w:type="fixed"/>
        <w:tblLook w:val="0600"/>
      </w:tblPr>
      <w:tblGrid>
        <w:gridCol w:w="1785"/>
        <w:gridCol w:w="1035"/>
        <w:gridCol w:w="6045"/>
        <w:tblGridChange w:id="0">
          <w:tblGrid>
            <w:gridCol w:w="1785"/>
            <w:gridCol w:w="1035"/>
            <w:gridCol w:w="604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Teardown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27-JUN-2015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Hardware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Meeting/Progress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John Delorme</w:t>
      </w:r>
    </w:p>
    <w:tbl>
      <w:tblPr>
        <w:tblStyle w:val="Table5"/>
        <w:bidi w:val="0"/>
        <w:tblW w:w="8865.0" w:type="dxa"/>
        <w:jc w:val="left"/>
        <w:tblInd w:w="-40.0" w:type="dxa"/>
        <w:tblLayout w:type="fixed"/>
        <w:tblLook w:val="0600"/>
      </w:tblPr>
      <w:tblGrid>
        <w:gridCol w:w="1770"/>
        <w:gridCol w:w="1050"/>
        <w:gridCol w:w="6045"/>
        <w:tblGridChange w:id="0">
          <w:tblGrid>
            <w:gridCol w:w="1770"/>
            <w:gridCol w:w="1050"/>
            <w:gridCol w:w="6045"/>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Teardown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27-JUN-2015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Teardown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Power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Meeting/Progress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Ian Brown</w:t>
      </w:r>
      <w:r w:rsidDel="00000000" w:rsidR="00000000" w:rsidRPr="00000000">
        <w:rPr>
          <w:rtl w:val="0"/>
        </w:rPr>
      </w:r>
    </w:p>
    <w:tbl>
      <w:tblPr>
        <w:tblStyle w:val="Table6"/>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18-JUN-2015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UI design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Android dev</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Team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Team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26-JUN-2015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UI design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30-JUN-2015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Progress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590"/>
        <w:tab w:val="right" w:pos="9360"/>
      </w:tabs>
      <w:spacing w:after="720" w:lineRule="auto"/>
      <w:contextualSpacing w:val="0"/>
    </w:pPr>
    <w:r w:rsidDel="00000000" w:rsidR="00000000" w:rsidRPr="00000000">
      <w:rPr>
        <w:rFonts w:ascii="Calibri" w:cs="Calibri" w:eastAsia="Calibri" w:hAnsi="Calibri"/>
        <w:sz w:val="20"/>
        <w:szCs w:val="20"/>
        <w:rtl w:val="0"/>
      </w:rPr>
      <w:t xml:space="preserve">SEES Project - Work Log</w:t>
      <w:tab/>
      <w:tab/>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