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438D" w14:textId="77777777" w:rsidR="00AF14F0" w:rsidRPr="0031283D" w:rsidRDefault="00AF14F0" w:rsidP="00AF14F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1283D">
        <w:rPr>
          <w:rFonts w:ascii="Times New Roman" w:hAnsi="Times New Roman"/>
          <w:b/>
          <w:sz w:val="24"/>
          <w:szCs w:val="24"/>
          <w:lang w:val="en-US"/>
        </w:rPr>
        <w:t>Teaching Statement</w:t>
      </w:r>
    </w:p>
    <w:p w14:paraId="05B05E6E" w14:textId="77777777" w:rsidR="00AF14F0" w:rsidRPr="0031283D" w:rsidRDefault="00AF14F0" w:rsidP="00AF14F0">
      <w:pPr>
        <w:pStyle w:val="NormalWeb"/>
        <w:spacing w:before="0" w:beforeAutospacing="0" w:line="276" w:lineRule="auto"/>
        <w:ind w:firstLine="720"/>
        <w:contextualSpacing/>
        <w:jc w:val="both"/>
      </w:pPr>
      <w:r w:rsidRPr="0031283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D0B66" wp14:editId="11A89F36">
                <wp:simplePos x="0" y="0"/>
                <wp:positionH relativeFrom="margin">
                  <wp:posOffset>1</wp:posOffset>
                </wp:positionH>
                <wp:positionV relativeFrom="paragraph">
                  <wp:posOffset>65372</wp:posOffset>
                </wp:positionV>
                <wp:extent cx="5909912" cy="19050"/>
                <wp:effectExtent l="12700" t="1270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912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7C79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15pt" to="465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" strokecolor="#365f91 [2404]" strokeweight="1.5pt">
                <w10:wrap anchorx="margin"/>
              </v:line>
            </w:pict>
          </mc:Fallback>
        </mc:AlternateContent>
      </w:r>
    </w:p>
    <w:p w14:paraId="61F7D68F" w14:textId="17F80D52" w:rsidR="00391A29" w:rsidRPr="0031283D" w:rsidRDefault="00AF14F0" w:rsidP="00832651">
      <w:pPr>
        <w:pStyle w:val="NormalWeb"/>
        <w:spacing w:before="0" w:beforeAutospacing="0" w:line="276" w:lineRule="auto"/>
        <w:ind w:firstLine="187"/>
        <w:contextualSpacing/>
        <w:jc w:val="both"/>
      </w:pPr>
      <w:r w:rsidRPr="0031283D">
        <w:t xml:space="preserve">My </w:t>
      </w:r>
      <w:r w:rsidR="00366E6C" w:rsidRPr="0031283D">
        <w:t xml:space="preserve">teaching </w:t>
      </w:r>
      <w:r w:rsidR="006F5306">
        <w:t>philosophy</w:t>
      </w:r>
      <w:r w:rsidR="00366E6C" w:rsidRPr="0031283D">
        <w:t xml:space="preserve"> </w:t>
      </w:r>
      <w:r w:rsidRPr="0031283D">
        <w:t xml:space="preserve">originates from my passion </w:t>
      </w:r>
      <w:r w:rsidR="00AC1A08" w:rsidRPr="0031283D">
        <w:t xml:space="preserve">for </w:t>
      </w:r>
      <w:r w:rsidRPr="0031283D">
        <w:t xml:space="preserve">education in the </w:t>
      </w:r>
      <w:r w:rsidR="00366E6C" w:rsidRPr="0031283D">
        <w:t>c</w:t>
      </w:r>
      <w:r w:rsidRPr="0031283D">
        <w:t xml:space="preserve">linical and </w:t>
      </w:r>
      <w:r w:rsidR="00366E6C" w:rsidRPr="0031283D">
        <w:t>a</w:t>
      </w:r>
      <w:r w:rsidRPr="0031283D">
        <w:t>cademic setting</w:t>
      </w:r>
      <w:r w:rsidR="00C06484">
        <w:t>s</w:t>
      </w:r>
      <w:r w:rsidRPr="0031283D">
        <w:t>.</w:t>
      </w:r>
      <w:r w:rsidR="006F5306">
        <w:t xml:space="preserve"> My</w:t>
      </w:r>
      <w:r w:rsidR="006F5306" w:rsidRPr="00F42555">
        <w:t xml:space="preserve"> </w:t>
      </w:r>
      <w:r w:rsidR="006F5306">
        <w:t xml:space="preserve">main </w:t>
      </w:r>
      <w:r w:rsidR="006F5306" w:rsidRPr="00F42555">
        <w:t>goal</w:t>
      </w:r>
      <w:r w:rsidR="006F5306">
        <w:t>s</w:t>
      </w:r>
      <w:r w:rsidR="006F5306" w:rsidRPr="00F42555">
        <w:t xml:space="preserve"> </w:t>
      </w:r>
      <w:r w:rsidR="006F5306">
        <w:t>as an educator are</w:t>
      </w:r>
      <w:r w:rsidR="006F5306" w:rsidRPr="00F42555">
        <w:t xml:space="preserve"> </w:t>
      </w:r>
      <w:r w:rsidR="006F5306">
        <w:t>to</w:t>
      </w:r>
      <w:r w:rsidR="006F5306" w:rsidRPr="00F42555">
        <w:t xml:space="preserve"> make students capable </w:t>
      </w:r>
      <w:r w:rsidR="006F5306">
        <w:t>to critically think and appraise various forms of knowledge and training, to engage into life-long learning and to act with integrity and respect as future leaders in our community.</w:t>
      </w:r>
      <w:r w:rsidRPr="0031283D">
        <w:t xml:space="preserve"> </w:t>
      </w:r>
      <w:r w:rsidR="00366E6C" w:rsidRPr="0031283D">
        <w:t>During my</w:t>
      </w:r>
      <w:r w:rsidRPr="0031283D">
        <w:t xml:space="preserve"> early years of my university life</w:t>
      </w:r>
      <w:r w:rsidR="00366E6C" w:rsidRPr="0031283D">
        <w:t>,</w:t>
      </w:r>
      <w:r w:rsidRPr="0031283D">
        <w:t xml:space="preserve"> I admired my professors </w:t>
      </w:r>
      <w:r w:rsidR="00366E6C" w:rsidRPr="0031283D">
        <w:t>who were</w:t>
      </w:r>
      <w:r w:rsidRPr="0031283D">
        <w:t xml:space="preserve"> able to deliver </w:t>
      </w:r>
      <w:r w:rsidR="004A2B84" w:rsidRPr="0031283D">
        <w:t>detailed</w:t>
      </w:r>
      <w:r w:rsidR="00AC1A08" w:rsidRPr="0031283D">
        <w:t xml:space="preserve"> information and/</w:t>
      </w:r>
      <w:r w:rsidR="000A1DED" w:rsidRPr="0031283D">
        <w:t>or complex</w:t>
      </w:r>
      <w:r w:rsidRPr="0031283D">
        <w:t xml:space="preserve"> </w:t>
      </w:r>
      <w:r w:rsidR="00AC1A08" w:rsidRPr="0031283D">
        <w:t xml:space="preserve">concepts </w:t>
      </w:r>
      <w:r w:rsidRPr="0031283D">
        <w:t>in an interactive</w:t>
      </w:r>
      <w:r w:rsidR="00AC1A08" w:rsidRPr="0031283D">
        <w:t xml:space="preserve"> and enjoyable way, that facilitated more effective learning</w:t>
      </w:r>
      <w:r w:rsidRPr="0031283D">
        <w:t xml:space="preserve">. I had the opportunity to be exposed to numerous skilled professors in various fields of exercise physiology, </w:t>
      </w:r>
      <w:r w:rsidR="00327C9B" w:rsidRPr="0031283D">
        <w:t>physiotherapy,</w:t>
      </w:r>
      <w:r w:rsidRPr="0031283D">
        <w:t xml:space="preserve"> and clinical epidemiology</w:t>
      </w:r>
      <w:r w:rsidR="00366E6C" w:rsidRPr="0031283D">
        <w:t>. By</w:t>
      </w:r>
      <w:r w:rsidRPr="0031283D">
        <w:t xml:space="preserve"> observing </w:t>
      </w:r>
      <w:r w:rsidR="004A2B84" w:rsidRPr="0031283D">
        <w:t>their different</w:t>
      </w:r>
      <w:r w:rsidR="00366E6C" w:rsidRPr="0031283D">
        <w:t xml:space="preserve"> </w:t>
      </w:r>
      <w:r w:rsidRPr="0031283D">
        <w:t xml:space="preserve">approaches </w:t>
      </w:r>
      <w:r w:rsidR="00EA6D71">
        <w:t>(</w:t>
      </w:r>
      <w:r w:rsidR="00327C9B">
        <w:t xml:space="preserve">i.e., </w:t>
      </w:r>
      <w:r w:rsidR="00EA6D71">
        <w:t>assignments re</w:t>
      </w:r>
      <w:r w:rsidR="00327C9B">
        <w:t>levant to profession</w:t>
      </w:r>
      <w:r w:rsidR="00EA6D71">
        <w:t xml:space="preserve">, </w:t>
      </w:r>
      <w:r w:rsidR="00327C9B">
        <w:t>hands-on learning</w:t>
      </w:r>
      <w:r w:rsidR="00EA6D71">
        <w:t xml:space="preserve">, </w:t>
      </w:r>
      <w:r w:rsidR="00327C9B">
        <w:t>group projects</w:t>
      </w:r>
      <w:r w:rsidR="00EA6D71">
        <w:t xml:space="preserve">) </w:t>
      </w:r>
      <w:r w:rsidRPr="0031283D">
        <w:t xml:space="preserve">and </w:t>
      </w:r>
      <w:r w:rsidR="00366E6C" w:rsidRPr="0031283D">
        <w:t xml:space="preserve">reflecting on </w:t>
      </w:r>
      <w:r w:rsidR="004A2B84" w:rsidRPr="0031283D">
        <w:t xml:space="preserve">which </w:t>
      </w:r>
      <w:r w:rsidR="00105DD0">
        <w:t xml:space="preserve">things </w:t>
      </w:r>
      <w:r w:rsidR="004A2B84" w:rsidRPr="0031283D">
        <w:t>enhanced</w:t>
      </w:r>
      <w:r w:rsidRPr="0031283D">
        <w:t xml:space="preserve"> my own learning,</w:t>
      </w:r>
      <w:r w:rsidR="00AC1A08" w:rsidRPr="0031283D">
        <w:t xml:space="preserve"> I came to appreciate the need for different strategies for different types of material or learners. I appreciate that</w:t>
      </w:r>
      <w:r w:rsidRPr="0031283D">
        <w:t xml:space="preserve"> each student has different </w:t>
      </w:r>
      <w:r w:rsidR="00AC1A08" w:rsidRPr="0031283D">
        <w:t xml:space="preserve">learning </w:t>
      </w:r>
      <w:r w:rsidRPr="0031283D">
        <w:t>needs and</w:t>
      </w:r>
      <w:r w:rsidR="00AC1A08" w:rsidRPr="0031283D">
        <w:t xml:space="preserve"> </w:t>
      </w:r>
      <w:r w:rsidR="004A2B84" w:rsidRPr="0031283D">
        <w:t>goals, that</w:t>
      </w:r>
      <w:r w:rsidR="00AC1A08" w:rsidRPr="0031283D">
        <w:t xml:space="preserve"> may require </w:t>
      </w:r>
      <w:r w:rsidR="00327C9B">
        <w:t>a universal design of learning approach.</w:t>
      </w:r>
      <w:r w:rsidR="00327C9B" w:rsidRPr="00327C9B">
        <w:t xml:space="preserve"> </w:t>
      </w:r>
      <w:r w:rsidR="006F5306">
        <w:t xml:space="preserve">My teaching approach will involve </w:t>
      </w:r>
      <w:r w:rsidR="006F5306" w:rsidRPr="00E10FA3">
        <w:t xml:space="preserve">a case-based approach </w:t>
      </w:r>
      <w:r w:rsidR="006F5306">
        <w:t xml:space="preserve">that </w:t>
      </w:r>
      <w:r w:rsidR="006F5306" w:rsidRPr="00E10FA3">
        <w:t xml:space="preserve">engages students in discussion of specific scenarios that resemble real-world examples. </w:t>
      </w:r>
      <w:r w:rsidR="006F5306">
        <w:t>I firmly believe that a</w:t>
      </w:r>
      <w:r w:rsidR="006F5306" w:rsidRPr="00E10FA3">
        <w:t xml:space="preserve"> learner-centered </w:t>
      </w:r>
      <w:r w:rsidR="006F5306">
        <w:t xml:space="preserve">approach </w:t>
      </w:r>
      <w:r w:rsidR="006F5306" w:rsidRPr="00E10FA3">
        <w:t>w</w:t>
      </w:r>
      <w:r w:rsidR="006F5306">
        <w:t>ill</w:t>
      </w:r>
      <w:r w:rsidR="006F5306" w:rsidRPr="00E10FA3">
        <w:t xml:space="preserve"> </w:t>
      </w:r>
      <w:r w:rsidR="006F5306">
        <w:t xml:space="preserve">have an </w:t>
      </w:r>
      <w:r w:rsidR="006F5306" w:rsidRPr="00E10FA3">
        <w:t xml:space="preserve">intense interaction </w:t>
      </w:r>
      <w:r w:rsidR="006F5306">
        <w:t>among</w:t>
      </w:r>
      <w:r w:rsidR="006F5306" w:rsidRPr="00E10FA3">
        <w:t xml:space="preserve"> </w:t>
      </w:r>
      <w:r w:rsidR="006F5306">
        <w:t>the students by</w:t>
      </w:r>
      <w:r w:rsidR="006F5306" w:rsidRPr="00E10FA3">
        <w:t xml:space="preserve"> build</w:t>
      </w:r>
      <w:r w:rsidR="006F5306">
        <w:t>ing</w:t>
      </w:r>
      <w:r w:rsidR="006F5306" w:rsidRPr="00E10FA3">
        <w:t xml:space="preserve"> their knowledge and </w:t>
      </w:r>
      <w:r w:rsidR="006F5306">
        <w:t xml:space="preserve">by </w:t>
      </w:r>
      <w:r w:rsidR="006F5306" w:rsidRPr="00E10FA3">
        <w:t>work</w:t>
      </w:r>
      <w:r w:rsidR="006F5306">
        <w:t>ing</w:t>
      </w:r>
      <w:r w:rsidR="006F5306" w:rsidRPr="00E10FA3">
        <w:t xml:space="preserve"> together to examine the case</w:t>
      </w:r>
      <w:r w:rsidR="006F5306">
        <w:t xml:space="preserve">. </w:t>
      </w:r>
      <w:r w:rsidR="00DE1EBC">
        <w:t>My teaching philosophy has 3 critical elements:</w:t>
      </w:r>
      <w:r w:rsidR="001F666E">
        <w:t xml:space="preserve"> </w:t>
      </w:r>
      <w:r w:rsidR="00DE1EBC">
        <w:t xml:space="preserve">1) to </w:t>
      </w:r>
      <w:r w:rsidR="00327C9B" w:rsidRPr="0031283D">
        <w:t>develop a clear set of expected teaching outcomes and mapping the teaching strategies to those outcomes</w:t>
      </w:r>
      <w:r w:rsidR="001F666E">
        <w:t xml:space="preserve"> 2</w:t>
      </w:r>
      <w:r w:rsidR="00DE1EBC">
        <w:t xml:space="preserve">) to </w:t>
      </w:r>
      <w:r w:rsidR="00327C9B">
        <w:t>develop an array of engaging teaching resources</w:t>
      </w:r>
      <w:r w:rsidR="001F666E">
        <w:t xml:space="preserve"> 3</w:t>
      </w:r>
      <w:r w:rsidR="00DE1EBC">
        <w:t>)</w:t>
      </w:r>
      <w:r w:rsidR="001F666E">
        <w:t xml:space="preserve"> </w:t>
      </w:r>
      <w:r w:rsidR="00DE1EBC">
        <w:t xml:space="preserve">to </w:t>
      </w:r>
      <w:r w:rsidR="00327C9B" w:rsidRPr="0031283D">
        <w:t>ensur</w:t>
      </w:r>
      <w:r w:rsidR="001F666E">
        <w:t>e</w:t>
      </w:r>
      <w:r w:rsidR="00327C9B" w:rsidRPr="0031283D">
        <w:t xml:space="preserve"> ongoing evaluation includ</w:t>
      </w:r>
      <w:r w:rsidR="00327C9B">
        <w:t>ing</w:t>
      </w:r>
      <w:r w:rsidR="00327C9B" w:rsidRPr="0031283D">
        <w:t xml:space="preserve"> formative and summative feedback that can be used </w:t>
      </w:r>
      <w:r w:rsidR="00327C9B">
        <w:t>by</w:t>
      </w:r>
      <w:r w:rsidR="00327C9B" w:rsidRPr="0031283D">
        <w:t xml:space="preserve"> students to monitor their learning progress</w:t>
      </w:r>
      <w:r w:rsidR="00DE1EBC">
        <w:t>.</w:t>
      </w:r>
    </w:p>
    <w:p w14:paraId="5998350F" w14:textId="51037CB7" w:rsidR="0093485C" w:rsidRPr="0031283D" w:rsidRDefault="0093485C" w:rsidP="001F666E">
      <w:pPr>
        <w:pStyle w:val="NormalWeb"/>
        <w:spacing w:before="0" w:beforeAutospacing="0" w:line="276" w:lineRule="auto"/>
        <w:ind w:firstLine="187"/>
        <w:contextualSpacing/>
        <w:jc w:val="both"/>
        <w:rPr>
          <w:lang w:val="en-US"/>
        </w:rPr>
      </w:pPr>
      <w:r w:rsidRPr="0031283D">
        <w:rPr>
          <w:lang w:val="en-US"/>
        </w:rPr>
        <w:t>My teaching experience started in 2010 when I was enlisted as</w:t>
      </w:r>
      <w:r w:rsidR="00A46951" w:rsidRPr="0031283D">
        <w:rPr>
          <w:lang w:val="en-US"/>
        </w:rPr>
        <w:t xml:space="preserve"> trainer for</w:t>
      </w:r>
      <w:r w:rsidRPr="0031283D">
        <w:rPr>
          <w:lang w:val="en-US"/>
        </w:rPr>
        <w:t xml:space="preserve"> </w:t>
      </w:r>
      <w:r w:rsidR="00A46951" w:rsidRPr="0031283D">
        <w:rPr>
          <w:lang w:val="en-US"/>
        </w:rPr>
        <w:t xml:space="preserve">Special Forces </w:t>
      </w:r>
      <w:r w:rsidRPr="0031283D">
        <w:rPr>
          <w:lang w:val="en-US"/>
        </w:rPr>
        <w:t>military personnel</w:t>
      </w:r>
      <w:r w:rsidR="00AC1A08" w:rsidRPr="0031283D">
        <w:rPr>
          <w:lang w:val="en-US"/>
        </w:rPr>
        <w:t xml:space="preserve"> where </w:t>
      </w:r>
      <w:r w:rsidR="00A46951" w:rsidRPr="0031283D">
        <w:rPr>
          <w:lang w:val="en-US"/>
        </w:rPr>
        <w:t>I was responsible for the daily training</w:t>
      </w:r>
      <w:r w:rsidR="00215287" w:rsidRPr="0031283D">
        <w:rPr>
          <w:lang w:val="en-US"/>
        </w:rPr>
        <w:t xml:space="preserve"> of military personnel</w:t>
      </w:r>
      <w:r w:rsidR="00ED2ADD" w:rsidRPr="0031283D">
        <w:rPr>
          <w:lang w:val="en-US"/>
        </w:rPr>
        <w:t>. As a</w:t>
      </w:r>
      <w:r w:rsidR="00DE1EBC">
        <w:rPr>
          <w:lang w:val="en-US"/>
        </w:rPr>
        <w:t xml:space="preserve">n </w:t>
      </w:r>
      <w:r w:rsidR="00ED2ADD" w:rsidRPr="0031283D">
        <w:rPr>
          <w:lang w:val="en-US"/>
        </w:rPr>
        <w:t xml:space="preserve">instructor I was responsible for the daily </w:t>
      </w:r>
      <w:r w:rsidR="000A1DED" w:rsidRPr="0031283D">
        <w:rPr>
          <w:lang w:val="en-US"/>
        </w:rPr>
        <w:t>instruction</w:t>
      </w:r>
      <w:r w:rsidR="00AC1A08" w:rsidRPr="0031283D">
        <w:rPr>
          <w:lang w:val="en-US"/>
        </w:rPr>
        <w:t xml:space="preserve"> of</w:t>
      </w:r>
      <w:r w:rsidR="00643C6C" w:rsidRPr="0031283D">
        <w:rPr>
          <w:lang w:val="en-US"/>
        </w:rPr>
        <w:t xml:space="preserve"> new recruits</w:t>
      </w:r>
      <w:r w:rsidR="00AC1A08" w:rsidRPr="0031283D">
        <w:rPr>
          <w:lang w:val="en-US"/>
        </w:rPr>
        <w:t xml:space="preserve"> on</w:t>
      </w:r>
      <w:r w:rsidR="00643C6C" w:rsidRPr="0031283D">
        <w:rPr>
          <w:lang w:val="en-US"/>
        </w:rPr>
        <w:t xml:space="preserve"> how to perform exercises effectively in a safe manner without sacrific</w:t>
      </w:r>
      <w:r w:rsidR="000962C8" w:rsidRPr="0031283D">
        <w:rPr>
          <w:lang w:val="en-US"/>
        </w:rPr>
        <w:t>ing their formation.</w:t>
      </w:r>
      <w:r w:rsidR="00AC1A08" w:rsidRPr="0031283D">
        <w:rPr>
          <w:lang w:val="en-US"/>
        </w:rPr>
        <w:t xml:space="preserve"> From this </w:t>
      </w:r>
      <w:r w:rsidR="00C06484">
        <w:rPr>
          <w:lang w:val="en-US"/>
        </w:rPr>
        <w:t xml:space="preserve">experience </w:t>
      </w:r>
      <w:r w:rsidR="00AC1A08" w:rsidRPr="0031283D">
        <w:rPr>
          <w:lang w:val="en-US"/>
        </w:rPr>
        <w:t xml:space="preserve">I </w:t>
      </w:r>
      <w:r w:rsidR="000A1DED" w:rsidRPr="0031283D">
        <w:rPr>
          <w:lang w:val="en-US"/>
        </w:rPr>
        <w:t>learn</w:t>
      </w:r>
      <w:r w:rsidR="00C06484">
        <w:rPr>
          <w:lang w:val="en-US"/>
        </w:rPr>
        <w:t>ed</w:t>
      </w:r>
      <w:r w:rsidR="00AC1A08" w:rsidRPr="0031283D">
        <w:rPr>
          <w:lang w:val="en-US"/>
        </w:rPr>
        <w:t xml:space="preserve"> how to structure sessions, maintain schedules/</w:t>
      </w:r>
      <w:proofErr w:type="gramStart"/>
      <w:r w:rsidR="00AC1A08" w:rsidRPr="0031283D">
        <w:rPr>
          <w:lang w:val="en-US"/>
        </w:rPr>
        <w:t>order</w:t>
      </w:r>
      <w:proofErr w:type="gramEnd"/>
      <w:r w:rsidR="00AC1A08" w:rsidRPr="0031283D">
        <w:rPr>
          <w:lang w:val="en-US"/>
        </w:rPr>
        <w:t xml:space="preserve"> and provide clear instructions.</w:t>
      </w:r>
    </w:p>
    <w:p w14:paraId="2CAC6238" w14:textId="2521A6B0" w:rsidR="000962C8" w:rsidRPr="0031283D" w:rsidRDefault="2835EEDD" w:rsidP="001F666E">
      <w:pPr>
        <w:pStyle w:val="NormalWeb"/>
        <w:spacing w:before="0" w:beforeAutospacing="0" w:line="276" w:lineRule="auto"/>
        <w:ind w:firstLine="187"/>
        <w:contextualSpacing/>
        <w:jc w:val="both"/>
        <w:rPr>
          <w:lang w:val="en-US"/>
        </w:rPr>
      </w:pPr>
      <w:r w:rsidRPr="2835EEDD">
        <w:rPr>
          <w:lang w:val="en-US"/>
        </w:rPr>
        <w:t xml:space="preserve">My clinical academic teaching experience started in 2015 with supervision and clinical instruction in PT 9524x: Physical Therapy in Community Settings at the School of Physical Therapy at </w:t>
      </w:r>
      <w:r w:rsidRPr="008F71BD">
        <w:rPr>
          <w:lang w:val="en-US"/>
        </w:rPr>
        <w:t>Western University</w:t>
      </w:r>
      <w:r w:rsidR="00DE1EBC">
        <w:rPr>
          <w:lang w:val="en-US"/>
        </w:rPr>
        <w:t>.</w:t>
      </w:r>
      <w:r w:rsidRPr="2835EEDD">
        <w:rPr>
          <w:lang w:val="en-US"/>
        </w:rPr>
        <w:t xml:space="preserve"> I served for 2 years under the supervision of Dr. Denise Connelly. This was a mandatory course for </w:t>
      </w:r>
      <w:r w:rsidR="00DE1EBC">
        <w:rPr>
          <w:lang w:val="en-US"/>
        </w:rPr>
        <w:t>second</w:t>
      </w:r>
      <w:r w:rsidR="00327C9B">
        <w:rPr>
          <w:lang w:val="en-US"/>
        </w:rPr>
        <w:t xml:space="preserve"> year </w:t>
      </w:r>
      <w:r w:rsidR="00327C9B" w:rsidRPr="2835EEDD">
        <w:rPr>
          <w:lang w:val="en-US"/>
        </w:rPr>
        <w:t xml:space="preserve">Master of Physical Therapy </w:t>
      </w:r>
      <w:r w:rsidRPr="2835EEDD">
        <w:rPr>
          <w:lang w:val="en-US"/>
        </w:rPr>
        <w:t xml:space="preserve">students enrolled in Western University’s entry-to-practice program. I had a variety of responsibilities, ranging from organizing the lectures and lab sessions, to </w:t>
      </w:r>
      <w:r w:rsidR="00BA79A1">
        <w:rPr>
          <w:lang w:val="en-US"/>
        </w:rPr>
        <w:t>collaborating with</w:t>
      </w:r>
      <w:r w:rsidRPr="2835EEDD">
        <w:rPr>
          <w:lang w:val="en-US"/>
        </w:rPr>
        <w:t xml:space="preserve"> my co-instructors to provide fidelity in how we delivered the concepts in a clear and concise manner. The course was designed to introduce students </w:t>
      </w:r>
      <w:r w:rsidR="00BA79A1">
        <w:rPr>
          <w:lang w:val="en-US"/>
        </w:rPr>
        <w:t xml:space="preserve">to </w:t>
      </w:r>
      <w:r w:rsidRPr="2835EEDD">
        <w:rPr>
          <w:lang w:val="en-US"/>
        </w:rPr>
        <w:t xml:space="preserve">the most common conditions of neurological, </w:t>
      </w:r>
      <w:r w:rsidR="001F666E" w:rsidRPr="2835EEDD">
        <w:rPr>
          <w:lang w:val="en-US"/>
        </w:rPr>
        <w:t>cardiorespiratory,</w:t>
      </w:r>
      <w:r w:rsidRPr="2835EEDD">
        <w:rPr>
          <w:lang w:val="en-US"/>
        </w:rPr>
        <w:t xml:space="preserve"> and musculoskeletal systems seen by physiotherapists working in community settings. Case vignettes were utilized to augment theoretical knowledge and provide opportunities to </w:t>
      </w:r>
      <w:r w:rsidR="00A81BB9">
        <w:rPr>
          <w:lang w:val="en-US"/>
        </w:rPr>
        <w:t>integrate theoretical</w:t>
      </w:r>
      <w:r w:rsidRPr="2835EEDD">
        <w:rPr>
          <w:lang w:val="en-US"/>
        </w:rPr>
        <w:t xml:space="preserve"> knowledge </w:t>
      </w:r>
      <w:r w:rsidR="00643B98" w:rsidRPr="2835EEDD">
        <w:rPr>
          <w:lang w:val="en-US"/>
        </w:rPr>
        <w:t>in</w:t>
      </w:r>
      <w:r w:rsidR="00643B98">
        <w:rPr>
          <w:lang w:val="en-US"/>
        </w:rPr>
        <w:t>to</w:t>
      </w:r>
      <w:r w:rsidR="00643B98" w:rsidRPr="2835EEDD">
        <w:rPr>
          <w:lang w:val="en-US"/>
        </w:rPr>
        <w:t xml:space="preserve"> practical</w:t>
      </w:r>
      <w:r w:rsidRPr="2835EEDD">
        <w:rPr>
          <w:lang w:val="en-US"/>
        </w:rPr>
        <w:t xml:space="preserve"> scenarios. My role was to </w:t>
      </w:r>
      <w:r w:rsidR="00643B98">
        <w:rPr>
          <w:lang w:val="en-US"/>
        </w:rPr>
        <w:t>facilitate</w:t>
      </w:r>
      <w:r w:rsidR="00643B98" w:rsidRPr="2835EEDD">
        <w:rPr>
          <w:lang w:val="en-US"/>
        </w:rPr>
        <w:t xml:space="preserve"> skill</w:t>
      </w:r>
      <w:r w:rsidRPr="2835EEDD">
        <w:rPr>
          <w:lang w:val="en-US"/>
        </w:rPr>
        <w:t xml:space="preserve"> acquisition and </w:t>
      </w:r>
      <w:r w:rsidR="00A81BB9">
        <w:rPr>
          <w:lang w:val="en-US"/>
        </w:rPr>
        <w:t>identify effective learning strategies.</w:t>
      </w:r>
      <w:r w:rsidRPr="2835EEDD">
        <w:rPr>
          <w:lang w:val="en-US"/>
        </w:rPr>
        <w:t xml:space="preserve"> </w:t>
      </w:r>
      <w:r>
        <w:t xml:space="preserve">Through this experience, I became more familiar with the curriculum, faculty and learning strategies that support the professional program </w:t>
      </w:r>
      <w:r w:rsidRPr="2835EEDD">
        <w:rPr>
          <w:lang w:val="en-US"/>
        </w:rPr>
        <w:t>in Physical Therapy</w:t>
      </w:r>
      <w:r w:rsidR="00D005AD">
        <w:rPr>
          <w:lang w:val="en-US"/>
        </w:rPr>
        <w:t>.</w:t>
      </w:r>
      <w:r w:rsidR="00391A29">
        <w:tab/>
      </w:r>
    </w:p>
    <w:p w14:paraId="5E267616" w14:textId="063639F6" w:rsidR="00BA79A1" w:rsidRPr="0031283D" w:rsidRDefault="005D72A2" w:rsidP="001F666E">
      <w:pPr>
        <w:pStyle w:val="NormalWeb"/>
        <w:spacing w:before="0" w:beforeAutospacing="0" w:line="276" w:lineRule="auto"/>
        <w:ind w:firstLine="187"/>
        <w:contextualSpacing/>
        <w:jc w:val="both"/>
      </w:pPr>
      <w:r>
        <w:lastRenderedPageBreak/>
        <w:t xml:space="preserve">My approach to graduate supervision presumes that by providing strong methods training, ongoing </w:t>
      </w:r>
      <w:r w:rsidR="00F20FE1">
        <w:t>feedback,</w:t>
      </w:r>
      <w:r>
        <w:t xml:space="preserve"> and excellent project opportunities to trainees, I can support their development as researchers. </w:t>
      </w:r>
      <w:r w:rsidR="2835EEDD" w:rsidRPr="2835EEDD">
        <w:rPr>
          <w:lang w:val="en-US"/>
        </w:rPr>
        <w:t>In early 2019, I recruited and mentored two graduate students for the development of an evidence synthesis protocol during their graduate studies at McGill University.</w:t>
      </w:r>
      <w:r w:rsidR="2835EEDD">
        <w:t xml:space="preserve"> I also served as a </w:t>
      </w:r>
      <w:r w:rsidR="00F20FE1">
        <w:t>first point</w:t>
      </w:r>
      <w:r w:rsidR="2835EEDD">
        <w:t>-of-contact mentor for a fourth-year undergraduate student at the Hand and Upper Limb Centre</w:t>
      </w:r>
      <w:r w:rsidR="00DE1EBC">
        <w:t>.</w:t>
      </w:r>
      <w:r w:rsidR="2835EEDD">
        <w:t xml:space="preserve"> </w:t>
      </w:r>
      <w:r w:rsidR="00DE1EBC">
        <w:t>W</w:t>
      </w:r>
      <w:r w:rsidR="2835EEDD">
        <w:t xml:space="preserve">e collaborated in an independent research project </w:t>
      </w:r>
      <w:r w:rsidR="00BA79A1">
        <w:t xml:space="preserve">in </w:t>
      </w:r>
      <w:r w:rsidR="2835EEDD">
        <w:t>which I guide</w:t>
      </w:r>
      <w:r w:rsidR="00BA79A1">
        <w:t>d</w:t>
      </w:r>
      <w:r w:rsidR="2835EEDD">
        <w:t xml:space="preserve"> the student to prepare the protocol for a measurement study and submit ethics. I supervised 2 </w:t>
      </w:r>
      <w:r w:rsidR="00DE1EBC">
        <w:t xml:space="preserve">separate </w:t>
      </w:r>
      <w:r w:rsidR="2835EEDD">
        <w:t xml:space="preserve">groups of physiotherapy students to conduct independent projects, which led to peer review publications in BMJ </w:t>
      </w:r>
      <w:r w:rsidR="00996A8B">
        <w:t>O</w:t>
      </w:r>
      <w:r w:rsidR="2835EEDD">
        <w:t xml:space="preserve">pen. </w:t>
      </w:r>
    </w:p>
    <w:p w14:paraId="7D608555" w14:textId="695A5760" w:rsidR="00977F94" w:rsidRPr="0031283D" w:rsidRDefault="2835EEDD" w:rsidP="00FB7CC1">
      <w:pPr>
        <w:pStyle w:val="NormalWeb"/>
        <w:spacing w:before="0" w:beforeAutospacing="0" w:line="276" w:lineRule="auto"/>
        <w:ind w:firstLine="187"/>
        <w:contextualSpacing/>
        <w:jc w:val="both"/>
      </w:pPr>
      <w:r>
        <w:t xml:space="preserve">Currently, as a postdoctoral fellow I am </w:t>
      </w:r>
      <w:r w:rsidR="00D005AD">
        <w:t>assisting in</w:t>
      </w:r>
      <w:r>
        <w:t xml:space="preserve"> </w:t>
      </w:r>
      <w:r w:rsidR="00971D10">
        <w:t>a</w:t>
      </w:r>
      <w:r w:rsidR="00327C9B">
        <w:t xml:space="preserve"> graduate </w:t>
      </w:r>
      <w:r>
        <w:t xml:space="preserve">course at the Department </w:t>
      </w:r>
      <w:r w:rsidR="000D63F0">
        <w:t>of</w:t>
      </w:r>
      <w:r>
        <w:t xml:space="preserve"> Clinical Epidemiology and Health Care Research at University of Toronto. I have multiple administrative and teaching</w:t>
      </w:r>
      <w:r w:rsidR="00327C9B">
        <w:t xml:space="preserve"> assistant</w:t>
      </w:r>
      <w:r>
        <w:t xml:space="preserve"> responsibilities such as </w:t>
      </w:r>
      <w:r w:rsidR="00327C9B">
        <w:t xml:space="preserve">helping </w:t>
      </w:r>
      <w:r>
        <w:t xml:space="preserve">students </w:t>
      </w:r>
      <w:r w:rsidR="00327C9B">
        <w:t>to operate the necessary software, ensure that they follow the latest reporting guidelines and</w:t>
      </w:r>
      <w:r w:rsidR="00D005AD">
        <w:t xml:space="preserve"> marking</w:t>
      </w:r>
      <w:r w:rsidR="00327C9B">
        <w:t xml:space="preserve"> their assignments. </w:t>
      </w:r>
      <w:r>
        <w:t xml:space="preserve">I engage in multiple strategies to improve my abilities as an educator. This includes taking on multiple opportunities to engage in classroom teaching or participating in service roles that support education, </w:t>
      </w:r>
      <w:r w:rsidR="00A81BB9">
        <w:t>en</w:t>
      </w:r>
      <w:r>
        <w:t xml:space="preserve">suring I have a strong and current toolbox of epidemiologic/biostatical methods to pass on, and that I seek ongoing feedback to improve my teaching abilities. </w:t>
      </w:r>
    </w:p>
    <w:p w14:paraId="02AD3F9C" w14:textId="1300BCBA" w:rsidR="00DC1BE8" w:rsidRDefault="00FD22BF" w:rsidP="00FB7CC1">
      <w:pPr>
        <w:pStyle w:val="NormalWeb"/>
        <w:spacing w:before="0" w:beforeAutospacing="0" w:line="276" w:lineRule="auto"/>
        <w:ind w:firstLine="187"/>
        <w:contextualSpacing/>
        <w:jc w:val="both"/>
      </w:pPr>
      <w:r>
        <w:t>I am confident m</w:t>
      </w:r>
      <w:r w:rsidR="0031283D" w:rsidRPr="0031283D">
        <w:t>y research program will attract</w:t>
      </w:r>
      <w:r w:rsidR="0031283D">
        <w:t xml:space="preserve"> </w:t>
      </w:r>
      <w:r w:rsidR="0057301C">
        <w:t xml:space="preserve">both international and domestic students </w:t>
      </w:r>
      <w:r w:rsidR="00105DD0">
        <w:t xml:space="preserve">from </w:t>
      </w:r>
      <w:r w:rsidR="00337A82">
        <w:t>different fields</w:t>
      </w:r>
      <w:r w:rsidR="00105DD0">
        <w:t xml:space="preserve"> that will benefit </w:t>
      </w:r>
      <w:r w:rsidR="00A45C5D">
        <w:t xml:space="preserve">the </w:t>
      </w:r>
      <w:r w:rsidR="00832651">
        <w:t>Faculty of Health Sciences</w:t>
      </w:r>
      <w:r w:rsidR="00DE1EBC">
        <w:t xml:space="preserve"> at </w:t>
      </w:r>
      <w:r w:rsidR="00832651">
        <w:t>Western</w:t>
      </w:r>
      <w:r w:rsidR="000F502A">
        <w:t xml:space="preserve"> University</w:t>
      </w:r>
      <w:r w:rsidR="0057301C">
        <w:t xml:space="preserve">. As a </w:t>
      </w:r>
      <w:r w:rsidR="00FB7CC1">
        <w:t>doctoral</w:t>
      </w:r>
      <w:r w:rsidR="0057301C">
        <w:t xml:space="preserve"> student I was able to motivate my peers to participate in several research studies by make them feel that research is easily accessible and rewarding. To elicit </w:t>
      </w:r>
      <w:r w:rsidR="00D85567">
        <w:t>my peers’</w:t>
      </w:r>
      <w:r w:rsidR="0057301C">
        <w:t xml:space="preserve"> participation i</w:t>
      </w:r>
      <w:r w:rsidR="00D85567">
        <w:t>n research</w:t>
      </w:r>
      <w:r w:rsidR="00C95557">
        <w:t>,</w:t>
      </w:r>
      <w:r w:rsidR="00D85567">
        <w:t xml:space="preserve"> I emphasized </w:t>
      </w:r>
      <w:r w:rsidR="00C95557">
        <w:t xml:space="preserve">how rewarding </w:t>
      </w:r>
      <w:r w:rsidR="00D85567">
        <w:t xml:space="preserve">my own research activity </w:t>
      </w:r>
      <w:r w:rsidR="00C95557">
        <w:t xml:space="preserve">was and </w:t>
      </w:r>
      <w:r w:rsidR="00EC7EF5">
        <w:t xml:space="preserve">how different experiences were essential to </w:t>
      </w:r>
      <w:r w:rsidR="00971D10">
        <w:t>our</w:t>
      </w:r>
      <w:r w:rsidR="00EC7EF5">
        <w:t xml:space="preserve"> personal growth</w:t>
      </w:r>
      <w:r w:rsidR="00971D10">
        <w:t xml:space="preserve"> of our profession</w:t>
      </w:r>
      <w:r w:rsidR="00C95557">
        <w:t xml:space="preserve">. </w:t>
      </w:r>
      <w:r w:rsidR="00C95557">
        <w:tab/>
      </w:r>
    </w:p>
    <w:p w14:paraId="226A3A9C" w14:textId="460D29DB" w:rsidR="005576CC" w:rsidRDefault="00C95557" w:rsidP="005576CC">
      <w:pPr>
        <w:pStyle w:val="NormalWeb"/>
        <w:spacing w:before="0" w:beforeAutospacing="0" w:line="276" w:lineRule="auto"/>
        <w:ind w:firstLine="187"/>
        <w:contextualSpacing/>
        <w:jc w:val="both"/>
      </w:pPr>
      <w:r>
        <w:t xml:space="preserve">My research program will incorporate innovative approaches and </w:t>
      </w:r>
      <w:r w:rsidR="00B15BA9">
        <w:t xml:space="preserve">online </w:t>
      </w:r>
      <w:r>
        <w:t xml:space="preserve">technologies designed to enhance learning in </w:t>
      </w:r>
      <w:r w:rsidR="00282B7B">
        <w:t xml:space="preserve">the graduate context such as interactive videos with real time examples how to conduct research and </w:t>
      </w:r>
      <w:r w:rsidR="0077583A">
        <w:t>interactive</w:t>
      </w:r>
      <w:r w:rsidR="00EC7EF5">
        <w:t xml:space="preserve"> </w:t>
      </w:r>
      <w:r w:rsidR="00282B7B">
        <w:t xml:space="preserve">discussion groups for problem solving. To attract students my research lab will highlight annually students’ </w:t>
      </w:r>
      <w:r w:rsidR="00070AFC">
        <w:t xml:space="preserve">success </w:t>
      </w:r>
      <w:r w:rsidR="00282B7B">
        <w:t xml:space="preserve">stories to help prospective students picturing themselves </w:t>
      </w:r>
      <w:r w:rsidR="00070AFC">
        <w:t xml:space="preserve">in our institution </w:t>
      </w:r>
      <w:r w:rsidR="00C90112">
        <w:t xml:space="preserve">to </w:t>
      </w:r>
      <w:r w:rsidR="00070AFC">
        <w:t xml:space="preserve">conduct research. My experience from 4 different universities so far, indicated that student success stories are the most influential in their decision to conduct research. </w:t>
      </w:r>
      <w:r w:rsidR="00EC7EF5">
        <w:t xml:space="preserve">I will </w:t>
      </w:r>
      <w:r w:rsidR="0077583A">
        <w:t>encourage prospective</w:t>
      </w:r>
      <w:r w:rsidR="00070AFC">
        <w:t xml:space="preserve"> students to contact current students and ask them to describe their experience</w:t>
      </w:r>
      <w:r w:rsidR="00EC7EF5">
        <w:t xml:space="preserve"> to support an open </w:t>
      </w:r>
      <w:r w:rsidR="0077583A">
        <w:t>inviting research</w:t>
      </w:r>
      <w:r w:rsidR="00EC7EF5">
        <w:t xml:space="preserve"> program</w:t>
      </w:r>
      <w:r w:rsidR="00070AFC">
        <w:t xml:space="preserve">. I believe that </w:t>
      </w:r>
      <w:r w:rsidR="00FB7CC1">
        <w:t xml:space="preserve">my research program in the </w:t>
      </w:r>
      <w:r w:rsidR="000F502A">
        <w:t xml:space="preserve">musculoskeletal </w:t>
      </w:r>
      <w:r w:rsidR="00FB7CC1">
        <w:t>field</w:t>
      </w:r>
      <w:r w:rsidR="00070AFC">
        <w:t xml:space="preserve"> will attract the next generation </w:t>
      </w:r>
      <w:r w:rsidR="0077583A">
        <w:t xml:space="preserve">of </w:t>
      </w:r>
      <w:r w:rsidR="00FB7CC1">
        <w:t>researchers</w:t>
      </w:r>
      <w:r w:rsidR="00EC7EF5">
        <w:t xml:space="preserve"> and </w:t>
      </w:r>
      <w:r w:rsidR="00070AFC">
        <w:t>clinicians</w:t>
      </w:r>
      <w:r w:rsidR="00EC7EF5">
        <w:t xml:space="preserve"> to work </w:t>
      </w:r>
      <w:r w:rsidR="00FB7CC1">
        <w:t>with me</w:t>
      </w:r>
      <w:r w:rsidR="00EC7EF5">
        <w:t xml:space="preserve"> and result</w:t>
      </w:r>
      <w:r w:rsidR="00B15BA9">
        <w:t xml:space="preserve"> in</w:t>
      </w:r>
      <w:r w:rsidR="00EC7EF5">
        <w:t xml:space="preserve"> knowledge translation</w:t>
      </w:r>
      <w:r w:rsidR="00070AFC">
        <w:t>.</w:t>
      </w:r>
      <w:r w:rsidR="00BA4576">
        <w:t xml:space="preserve"> However, these fields have many interesting methodologic complexities that require use of emerging methods. I think my ability to appreciate these issues and experience working in diverse fields with questions ranging from surgery, rehab to the pandemic will allow me to relate to learners in </w:t>
      </w:r>
      <w:r w:rsidR="00996A8B">
        <w:t>rehabilitation sciences</w:t>
      </w:r>
      <w:r w:rsidR="00BA4576">
        <w:t xml:space="preserve"> who will come from different </w:t>
      </w:r>
      <w:r w:rsidR="005576CC">
        <w:t xml:space="preserve">and diverse </w:t>
      </w:r>
      <w:r w:rsidR="00BA4576">
        <w:t>backgrounds. Having worked with excellent mentors, I know the importance of engagement and customized learning</w:t>
      </w:r>
      <w:r w:rsidR="005576CC">
        <w:t xml:space="preserve"> in a cross-cultural environment</w:t>
      </w:r>
      <w:r w:rsidR="00BA4576">
        <w:t>. I hope to provide adaptive and engaged mentorship and excellent learning opportunities for people as I take on an educational role.</w:t>
      </w:r>
      <w:r w:rsidR="00FB7CC1">
        <w:t xml:space="preserve"> </w:t>
      </w:r>
    </w:p>
    <w:p w14:paraId="0244232B" w14:textId="23B94C2D" w:rsidR="00C75D00" w:rsidRPr="00117BF3" w:rsidRDefault="000F502A" w:rsidP="00C75D00">
      <w:pPr>
        <w:rPr>
          <w:rFonts w:ascii="Times New Roman" w:hAnsi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lastRenderedPageBreak/>
        <w:t xml:space="preserve">Example of </w:t>
      </w:r>
      <w:r w:rsidR="00C75D00" w:rsidRPr="00117BF3">
        <w:rPr>
          <w:rFonts w:ascii="Times New Roman" w:hAnsi="Times New Roman"/>
          <w:b/>
          <w:bCs/>
          <w:sz w:val="24"/>
          <w:szCs w:val="24"/>
          <w:lang w:val="en-CA"/>
        </w:rPr>
        <w:t>Sample Course Material</w:t>
      </w:r>
    </w:p>
    <w:p w14:paraId="0B05D3B5" w14:textId="77777777" w:rsidR="00C75D00" w:rsidRPr="00117BF3" w:rsidRDefault="00C75D00" w:rsidP="00C75D00">
      <w:pPr>
        <w:rPr>
          <w:rFonts w:ascii="Times New Roman" w:hAnsi="Times New Roman"/>
          <w:b/>
          <w:bCs/>
          <w:sz w:val="24"/>
          <w:szCs w:val="24"/>
          <w:lang w:val="en-CA"/>
        </w:rPr>
      </w:pPr>
      <w:r w:rsidRPr="00117BF3">
        <w:rPr>
          <w:rFonts w:ascii="Times New Roman" w:hAnsi="Times New Roman"/>
          <w:b/>
          <w:bCs/>
          <w:sz w:val="24"/>
          <w:szCs w:val="24"/>
          <w:lang w:val="en-CA"/>
        </w:rPr>
        <w:t>Syllabus</w:t>
      </w:r>
    </w:p>
    <w:p w14:paraId="79978B3D" w14:textId="77777777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>Course Title: Management of Covid-19</w:t>
      </w:r>
    </w:p>
    <w:p w14:paraId="45C594BE" w14:textId="77777777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>Course Duration: 6 weeks</w:t>
      </w:r>
    </w:p>
    <w:p w14:paraId="47E815D0" w14:textId="2E4CDFFB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 xml:space="preserve">Course Coordinator: Dr. Pavlos Bobos </w:t>
      </w:r>
      <w:r w:rsidR="000F502A">
        <w:rPr>
          <w:rFonts w:ascii="Times New Roman" w:hAnsi="Times New Roman"/>
          <w:lang w:val="en-CA"/>
        </w:rPr>
        <w:t xml:space="preserve">PT, </w:t>
      </w:r>
      <w:r w:rsidRPr="00117BF3">
        <w:rPr>
          <w:rFonts w:ascii="Times New Roman" w:hAnsi="Times New Roman"/>
          <w:lang w:val="en-CA"/>
        </w:rPr>
        <w:t>PhD</w:t>
      </w:r>
    </w:p>
    <w:p w14:paraId="2D99AFC5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  <w:r w:rsidRPr="00117BF3">
        <w:rPr>
          <w:rFonts w:ascii="Times New Roman" w:hAnsi="Times New Roman"/>
          <w:b/>
          <w:bCs/>
          <w:lang w:val="en-CA"/>
        </w:rPr>
        <w:t>Course Description</w:t>
      </w:r>
    </w:p>
    <w:p w14:paraId="7BF8DEEC" w14:textId="272DDE76" w:rsidR="00C75D00" w:rsidRPr="00117BF3" w:rsidRDefault="00C75D00" w:rsidP="00C75D00">
      <w:pPr>
        <w:spacing w:line="360" w:lineRule="auto"/>
        <w:jc w:val="both"/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 xml:space="preserve">The course will cover the role of physiotherapy in COVID-19, how to treat patients within the framework of </w:t>
      </w:r>
      <w:r w:rsidR="001873B4">
        <w:rPr>
          <w:rFonts w:ascii="Times New Roman" w:hAnsi="Times New Roman"/>
          <w:lang w:val="en-CA"/>
        </w:rPr>
        <w:t>professional training in</w:t>
      </w:r>
      <w:r w:rsidRPr="00117BF3">
        <w:rPr>
          <w:rFonts w:ascii="Times New Roman" w:hAnsi="Times New Roman"/>
          <w:lang w:val="en-CA"/>
        </w:rPr>
        <w:t xml:space="preserve"> physical therapy and what are the best interventions at the different severity stages of COVID-19.  The course will also cover the area of post COVID-19 syndrome, in terms of the prevalence of long-term COVID-19 symptoms, and how physiotherapists can address these symptoms. </w:t>
      </w:r>
    </w:p>
    <w:p w14:paraId="158CF315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  <w:r w:rsidRPr="00117BF3">
        <w:rPr>
          <w:rFonts w:ascii="Times New Roman" w:hAnsi="Times New Roman"/>
          <w:b/>
          <w:bCs/>
          <w:lang w:val="en-CA"/>
        </w:rPr>
        <w:t>Learner Objectives</w:t>
      </w:r>
    </w:p>
    <w:p w14:paraId="5B561D1B" w14:textId="77777777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>1. To introduce the epidemiology and clinical history of covid-19</w:t>
      </w:r>
    </w:p>
    <w:p w14:paraId="11A782A8" w14:textId="77777777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 xml:space="preserve">2. To develop theoretical knowledge on basic disease outbreak patterns with an emphasis on pandemics </w:t>
      </w:r>
    </w:p>
    <w:p w14:paraId="624C2572" w14:textId="1E5F88DF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 xml:space="preserve">3. To introduce the different severity stages of Covid-19 and the role of </w:t>
      </w:r>
      <w:r w:rsidR="00832651">
        <w:rPr>
          <w:rFonts w:ascii="Times New Roman" w:hAnsi="Times New Roman"/>
          <w:lang w:val="en-CA"/>
        </w:rPr>
        <w:t>rehabilitation</w:t>
      </w:r>
      <w:r w:rsidRPr="00117BF3">
        <w:rPr>
          <w:rFonts w:ascii="Times New Roman" w:hAnsi="Times New Roman"/>
          <w:lang w:val="en-CA"/>
        </w:rPr>
        <w:t xml:space="preserve"> in each stage.</w:t>
      </w:r>
    </w:p>
    <w:p w14:paraId="1E456C05" w14:textId="1EF44D75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>4. To develop an evidence-based approach for assessing and addressing Covid-19 symptoms in a hospital setting (ICU care included)</w:t>
      </w:r>
    </w:p>
    <w:p w14:paraId="684DBAFB" w14:textId="77777777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>5. To be able to recognize post covid-19 syndrome based on both short-term and long-term symptoms, and develop a therapeutic protocol accordingly</w:t>
      </w:r>
    </w:p>
    <w:p w14:paraId="090B0DBF" w14:textId="77777777" w:rsidR="00C75D00" w:rsidRPr="0027268D" w:rsidRDefault="00C75D00" w:rsidP="00C75D00">
      <w:pPr>
        <w:rPr>
          <w:rFonts w:ascii="Times New Roman" w:hAnsi="Times New Roman"/>
          <w:b/>
          <w:bCs/>
        </w:rPr>
      </w:pPr>
      <w:proofErr w:type="spellStart"/>
      <w:r w:rsidRPr="0027268D">
        <w:rPr>
          <w:rFonts w:ascii="Times New Roman" w:hAnsi="Times New Roman"/>
          <w:b/>
          <w:bCs/>
        </w:rPr>
        <w:t>Course</w:t>
      </w:r>
      <w:proofErr w:type="spellEnd"/>
      <w:r w:rsidRPr="0027268D">
        <w:rPr>
          <w:rFonts w:ascii="Times New Roman" w:hAnsi="Times New Roman"/>
          <w:b/>
          <w:bCs/>
        </w:rPr>
        <w:t xml:space="preserve"> </w:t>
      </w:r>
      <w:proofErr w:type="spellStart"/>
      <w:r w:rsidRPr="0027268D">
        <w:rPr>
          <w:rFonts w:ascii="Times New Roman" w:hAnsi="Times New Roman"/>
          <w:b/>
          <w:bCs/>
        </w:rPr>
        <w:t>Lectures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C75D00" w:rsidRPr="0027268D" w14:paraId="2A2AD57E" w14:textId="77777777" w:rsidTr="00D21EDE">
        <w:tc>
          <w:tcPr>
            <w:tcW w:w="3256" w:type="dxa"/>
          </w:tcPr>
          <w:p w14:paraId="081B14B5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  <w:lang w:val="en-GB"/>
              </w:rPr>
            </w:pPr>
            <w:r w:rsidRPr="0027268D">
              <w:rPr>
                <w:rFonts w:ascii="Times New Roman" w:hAnsi="Times New Roman"/>
                <w:b/>
                <w:bCs/>
                <w:sz w:val="22"/>
                <w:szCs w:val="22"/>
                <w:lang w:val="en-GB"/>
              </w:rPr>
              <w:t>Session</w:t>
            </w:r>
          </w:p>
        </w:tc>
        <w:tc>
          <w:tcPr>
            <w:tcW w:w="6237" w:type="dxa"/>
          </w:tcPr>
          <w:p w14:paraId="11F61FB3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  <w:lang w:val="en-GB"/>
              </w:rPr>
            </w:pPr>
            <w:r w:rsidRPr="0027268D">
              <w:rPr>
                <w:rFonts w:ascii="Times New Roman" w:hAnsi="Times New Roman"/>
                <w:b/>
                <w:bCs/>
                <w:sz w:val="22"/>
                <w:szCs w:val="22"/>
                <w:lang w:val="en-GB"/>
              </w:rPr>
              <w:t>Description</w:t>
            </w:r>
          </w:p>
        </w:tc>
      </w:tr>
      <w:tr w:rsidR="00C75D00" w:rsidRPr="00832651" w14:paraId="47751390" w14:textId="77777777" w:rsidTr="00D21EDE">
        <w:tc>
          <w:tcPr>
            <w:tcW w:w="3256" w:type="dxa"/>
          </w:tcPr>
          <w:p w14:paraId="484D16D8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1. Introduction</w:t>
            </w:r>
          </w:p>
        </w:tc>
        <w:tc>
          <w:tcPr>
            <w:tcW w:w="6237" w:type="dxa"/>
          </w:tcPr>
          <w:p w14:paraId="50722EAA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Introductory summary of the course material</w:t>
            </w:r>
          </w:p>
        </w:tc>
      </w:tr>
      <w:tr w:rsidR="00C75D00" w:rsidRPr="00832651" w14:paraId="76B69EB4" w14:textId="77777777" w:rsidTr="00D21EDE">
        <w:tc>
          <w:tcPr>
            <w:tcW w:w="3256" w:type="dxa"/>
          </w:tcPr>
          <w:p w14:paraId="717C530D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 xml:space="preserve">2. 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 xml:space="preserve">SARS-CoV-2 infection, </w:t>
            </w: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 xml:space="preserve">Covid-19 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>Disease</w:t>
            </w: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, Epidemiology</w:t>
            </w:r>
          </w:p>
        </w:tc>
        <w:tc>
          <w:tcPr>
            <w:tcW w:w="6237" w:type="dxa"/>
          </w:tcPr>
          <w:p w14:paraId="498B0E76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Disease Outbreak patterns, Pandemic Definition, Attack Rate, R number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>, Public Health Measures</w:t>
            </w:r>
          </w:p>
        </w:tc>
      </w:tr>
      <w:tr w:rsidR="00C75D00" w:rsidRPr="00832651" w14:paraId="1EF07CE1" w14:textId="77777777" w:rsidTr="00D21EDE">
        <w:tc>
          <w:tcPr>
            <w:tcW w:w="3256" w:type="dxa"/>
          </w:tcPr>
          <w:p w14:paraId="56F3576D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3. Severity stages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>, Assessment,</w:t>
            </w: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 xml:space="preserve"> Management</w:t>
            </w:r>
          </w:p>
        </w:tc>
        <w:tc>
          <w:tcPr>
            <w:tcW w:w="6237" w:type="dxa"/>
          </w:tcPr>
          <w:p w14:paraId="506DCA23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Role of physiotherapy in different severity cases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 xml:space="preserve"> (mild infection, hospitalized, low/high flow oxygen, mechanically ventilated)</w:t>
            </w:r>
          </w:p>
        </w:tc>
      </w:tr>
      <w:tr w:rsidR="00C75D00" w:rsidRPr="00832651" w14:paraId="61E646A8" w14:textId="77777777" w:rsidTr="00D21EDE">
        <w:tc>
          <w:tcPr>
            <w:tcW w:w="3256" w:type="dxa"/>
          </w:tcPr>
          <w:p w14:paraId="0AF38741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4. Acute care Management</w:t>
            </w:r>
          </w:p>
        </w:tc>
        <w:tc>
          <w:tcPr>
            <w:tcW w:w="6237" w:type="dxa"/>
          </w:tcPr>
          <w:p w14:paraId="3B986EFA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 xml:space="preserve">Oxygen support (flow rates), breathing exercises, positioning, 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 xml:space="preserve">approach to </w:t>
            </w: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minimize infection</w:t>
            </w:r>
          </w:p>
        </w:tc>
      </w:tr>
      <w:tr w:rsidR="00C75D00" w:rsidRPr="00832651" w14:paraId="502BA4E6" w14:textId="77777777" w:rsidTr="00D21EDE">
        <w:tc>
          <w:tcPr>
            <w:tcW w:w="3256" w:type="dxa"/>
          </w:tcPr>
          <w:p w14:paraId="5A319311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5. ICU care Management</w:t>
            </w:r>
          </w:p>
        </w:tc>
        <w:tc>
          <w:tcPr>
            <w:tcW w:w="6237" w:type="dxa"/>
          </w:tcPr>
          <w:p w14:paraId="3AE3CC91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Ventilators, gas exchange values, minimize infection, suction indicators, positioning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 xml:space="preserve">, approach to </w:t>
            </w: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minimize infection</w:t>
            </w:r>
          </w:p>
        </w:tc>
      </w:tr>
      <w:tr w:rsidR="00C75D00" w:rsidRPr="00832651" w14:paraId="36863EC0" w14:textId="77777777" w:rsidTr="00D21EDE">
        <w:tc>
          <w:tcPr>
            <w:tcW w:w="3256" w:type="dxa"/>
          </w:tcPr>
          <w:p w14:paraId="3561FDAC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6. Post Covid 19 Syndrome</w:t>
            </w:r>
          </w:p>
        </w:tc>
        <w:tc>
          <w:tcPr>
            <w:tcW w:w="6237" w:type="dxa"/>
          </w:tcPr>
          <w:p w14:paraId="0B4D7B77" w14:textId="77777777" w:rsidR="00C75D00" w:rsidRPr="0027268D" w:rsidRDefault="00C75D00" w:rsidP="00D21EDE">
            <w:pPr>
              <w:pStyle w:val="NormalWeb"/>
              <w:spacing w:before="0" w:beforeAutospacing="0" w:line="276" w:lineRule="auto"/>
              <w:contextualSpacing/>
              <w:jc w:val="both"/>
              <w:rPr>
                <w:rFonts w:eastAsiaTheme="minorHAnsi"/>
                <w:sz w:val="22"/>
                <w:szCs w:val="22"/>
                <w:lang w:val="en-GB" w:eastAsia="en-US"/>
              </w:rPr>
            </w:pP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 xml:space="preserve">Prevalence, short-term &amp; long-term symptoms, 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 xml:space="preserve">Assessment, </w:t>
            </w:r>
            <w:r w:rsidRPr="0027268D">
              <w:rPr>
                <w:rFonts w:eastAsiaTheme="minorHAnsi"/>
                <w:sz w:val="22"/>
                <w:szCs w:val="22"/>
                <w:lang w:val="en-GB" w:eastAsia="en-US"/>
              </w:rPr>
              <w:t>Interventions</w:t>
            </w:r>
          </w:p>
        </w:tc>
      </w:tr>
    </w:tbl>
    <w:p w14:paraId="533CCCB5" w14:textId="566CE4CF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</w:p>
    <w:p w14:paraId="04314F08" w14:textId="72B1A2BF" w:rsidR="00C75D00" w:rsidRPr="0027268D" w:rsidRDefault="00C75D00" w:rsidP="00C75D00">
      <w:pPr>
        <w:rPr>
          <w:rFonts w:ascii="Times New Roman" w:hAnsi="Times New Roman"/>
          <w:b/>
          <w:bCs/>
        </w:rPr>
      </w:pPr>
      <w:proofErr w:type="spellStart"/>
      <w:r w:rsidRPr="0027268D">
        <w:rPr>
          <w:rFonts w:ascii="Times New Roman" w:hAnsi="Times New Roman"/>
          <w:b/>
          <w:bCs/>
        </w:rPr>
        <w:lastRenderedPageBreak/>
        <w:t>Teaching</w:t>
      </w:r>
      <w:proofErr w:type="spellEnd"/>
      <w:r w:rsidRPr="0027268D">
        <w:rPr>
          <w:rFonts w:ascii="Times New Roman" w:hAnsi="Times New Roman"/>
          <w:b/>
          <w:bCs/>
        </w:rPr>
        <w:t xml:space="preserve"> </w:t>
      </w:r>
      <w:proofErr w:type="spellStart"/>
      <w:r w:rsidRPr="0027268D">
        <w:rPr>
          <w:rFonts w:ascii="Times New Roman" w:hAnsi="Times New Roman"/>
          <w:b/>
          <w:bCs/>
        </w:rPr>
        <w:t>Methodology</w:t>
      </w:r>
      <w:proofErr w:type="spellEnd"/>
    </w:p>
    <w:p w14:paraId="5C80B127" w14:textId="77777777" w:rsidR="00C75D00" w:rsidRPr="0027268D" w:rsidRDefault="00C75D00" w:rsidP="00C75D00">
      <w:pPr>
        <w:rPr>
          <w:rFonts w:ascii="Times New Roman" w:hAnsi="Times New Roman"/>
          <w:b/>
          <w:bCs/>
        </w:rPr>
      </w:pPr>
    </w:p>
    <w:p w14:paraId="501904C7" w14:textId="77777777" w:rsidR="00C75D00" w:rsidRPr="0027268D" w:rsidRDefault="00C75D00" w:rsidP="00C75D00">
      <w:pPr>
        <w:ind w:left="-426"/>
        <w:rPr>
          <w:rFonts w:ascii="Times New Roman" w:hAnsi="Times New Roman"/>
          <w:b/>
          <w:bCs/>
        </w:rPr>
      </w:pPr>
      <w:r w:rsidRPr="0027268D">
        <w:rPr>
          <w:rFonts w:ascii="Times New Roman" w:hAnsi="Times New Roman"/>
          <w:b/>
          <w:bCs/>
          <w:noProof/>
        </w:rPr>
        <w:drawing>
          <wp:inline distT="0" distB="0" distL="0" distR="0" wp14:anchorId="7746A3D0" wp14:editId="2DC5CDF7">
            <wp:extent cx="6494737" cy="29591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759" cy="297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6D0D" w14:textId="77777777" w:rsidR="00C75D00" w:rsidRDefault="00C75D00" w:rsidP="00C75D00">
      <w:pPr>
        <w:pStyle w:val="NormalWeb"/>
        <w:spacing w:before="0" w:beforeAutospacing="0" w:line="276" w:lineRule="auto"/>
        <w:ind w:firstLine="187"/>
        <w:contextualSpacing/>
        <w:jc w:val="both"/>
      </w:pPr>
    </w:p>
    <w:p w14:paraId="6F17CC6F" w14:textId="77777777" w:rsidR="00C75D00" w:rsidRDefault="00C75D00" w:rsidP="00C75D00">
      <w:pPr>
        <w:pStyle w:val="NormalWeb"/>
        <w:spacing w:before="0" w:beforeAutospacing="0" w:line="276" w:lineRule="auto"/>
        <w:ind w:firstLine="187"/>
        <w:contextualSpacing/>
        <w:jc w:val="both"/>
      </w:pPr>
    </w:p>
    <w:p w14:paraId="6AD91770" w14:textId="5A2C2473" w:rsidR="00C75D00" w:rsidRPr="0031283D" w:rsidRDefault="00C75D00" w:rsidP="003157A5">
      <w:pPr>
        <w:pStyle w:val="NormalWeb"/>
        <w:spacing w:before="0" w:beforeAutospacing="0" w:line="360" w:lineRule="auto"/>
        <w:contextualSpacing/>
        <w:jc w:val="both"/>
      </w:pPr>
      <w:r>
        <w:t xml:space="preserve">My teaching approach will involve </w:t>
      </w:r>
      <w:r w:rsidRPr="00E10FA3">
        <w:t xml:space="preserve">a case-based approach </w:t>
      </w:r>
      <w:r>
        <w:t xml:space="preserve">that </w:t>
      </w:r>
      <w:r w:rsidRPr="00E10FA3">
        <w:t xml:space="preserve">engages students in discussion of specific scenarios that resemble real-world examples. </w:t>
      </w:r>
      <w:r>
        <w:t>I firmly believe that a</w:t>
      </w:r>
      <w:r w:rsidRPr="00E10FA3">
        <w:t xml:space="preserve"> learner-centered </w:t>
      </w:r>
      <w:r>
        <w:t xml:space="preserve">approach </w:t>
      </w:r>
      <w:r w:rsidRPr="00E10FA3">
        <w:t>w</w:t>
      </w:r>
      <w:r>
        <w:t>ill</w:t>
      </w:r>
      <w:r w:rsidRPr="00E10FA3">
        <w:t xml:space="preserve"> </w:t>
      </w:r>
      <w:r>
        <w:t xml:space="preserve">have an </w:t>
      </w:r>
      <w:r w:rsidRPr="00E10FA3">
        <w:t xml:space="preserve">intense interaction </w:t>
      </w:r>
      <w:r>
        <w:t>among</w:t>
      </w:r>
      <w:r w:rsidRPr="00E10FA3">
        <w:t xml:space="preserve"> </w:t>
      </w:r>
      <w:r>
        <w:t>the students by</w:t>
      </w:r>
      <w:r w:rsidRPr="00E10FA3">
        <w:t xml:space="preserve"> build</w:t>
      </w:r>
      <w:r>
        <w:t>ing</w:t>
      </w:r>
      <w:r w:rsidRPr="00E10FA3">
        <w:t xml:space="preserve"> their knowledge and </w:t>
      </w:r>
      <w:r>
        <w:t xml:space="preserve">by </w:t>
      </w:r>
      <w:r w:rsidRPr="00E10FA3">
        <w:t>work</w:t>
      </w:r>
      <w:r>
        <w:t>ing</w:t>
      </w:r>
      <w:r w:rsidRPr="00E10FA3">
        <w:t xml:space="preserve"> together to examine the case</w:t>
      </w:r>
      <w:r>
        <w:t xml:space="preserve">. Through group-based critical discussion, students will develop their communicational skills and improve their critical thinking to provide evidence-based solutions to the problem. The different approaches will then be presented, </w:t>
      </w:r>
      <w:proofErr w:type="gramStart"/>
      <w:r>
        <w:t>discussed</w:t>
      </w:r>
      <w:proofErr w:type="gramEnd"/>
      <w:r>
        <w:t xml:space="preserve"> and synthesized to reach a decision.</w:t>
      </w:r>
      <w:r w:rsidR="00503099">
        <w:t xml:space="preserve"> </w:t>
      </w:r>
      <w:r w:rsidR="00885F2A">
        <w:t>The goal is to get each student</w:t>
      </w:r>
      <w:r w:rsidR="00503099">
        <w:t xml:space="preserve"> actively </w:t>
      </w:r>
      <w:r w:rsidR="00885F2A">
        <w:t>involved</w:t>
      </w:r>
      <w:r w:rsidR="00503099">
        <w:t xml:space="preserve"> to the</w:t>
      </w:r>
      <w:r w:rsidR="00885F2A">
        <w:t xml:space="preserve"> </w:t>
      </w:r>
      <w:r w:rsidR="00503099">
        <w:t>learning process</w:t>
      </w:r>
      <w:r w:rsidR="00885F2A">
        <w:t xml:space="preserve"> and stimulate their personal growth. This way, I intend</w:t>
      </w:r>
      <w:r w:rsidR="00503099">
        <w:t xml:space="preserve"> </w:t>
      </w:r>
      <w:r w:rsidR="00885F2A">
        <w:t xml:space="preserve">to enhance their confidence and help them </w:t>
      </w:r>
      <w:r w:rsidR="00117BF3">
        <w:t xml:space="preserve">to </w:t>
      </w:r>
      <w:r w:rsidR="00885F2A">
        <w:t xml:space="preserve">develop a broad mindset that will </w:t>
      </w:r>
      <w:r w:rsidR="00376AD1">
        <w:t>challenge the</w:t>
      </w:r>
      <w:r w:rsidR="00885F2A">
        <w:t xml:space="preserve"> pre-established knowledge,</w:t>
      </w:r>
      <w:r w:rsidR="003157A5">
        <w:t xml:space="preserve"> with the goal</w:t>
      </w:r>
      <w:r w:rsidR="00011E0A">
        <w:t xml:space="preserve"> to </w:t>
      </w:r>
      <w:r w:rsidR="00376AD1">
        <w:t>provide high quality care based on science, patient preferences and clinical expertise</w:t>
      </w:r>
      <w:r w:rsidR="003157A5">
        <w:t>.</w:t>
      </w:r>
    </w:p>
    <w:p w14:paraId="25651907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</w:p>
    <w:p w14:paraId="327DE667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</w:p>
    <w:p w14:paraId="22FCD47D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  <w:r w:rsidRPr="00117BF3">
        <w:rPr>
          <w:rFonts w:ascii="Times New Roman" w:hAnsi="Times New Roman"/>
          <w:b/>
          <w:bCs/>
          <w:lang w:val="en-CA"/>
        </w:rPr>
        <w:br w:type="page"/>
      </w:r>
    </w:p>
    <w:p w14:paraId="5870756F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  <w:r w:rsidRPr="00117BF3">
        <w:rPr>
          <w:rFonts w:ascii="Times New Roman" w:hAnsi="Times New Roman"/>
          <w:b/>
          <w:bCs/>
          <w:lang w:val="en-CA"/>
        </w:rPr>
        <w:lastRenderedPageBreak/>
        <w:t>Course Evaluation</w:t>
      </w:r>
    </w:p>
    <w:p w14:paraId="6D55FBBD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  <w:r w:rsidRPr="00117BF3">
        <w:rPr>
          <w:rFonts w:ascii="Times New Roman" w:hAnsi="Times New Roman"/>
          <w:b/>
          <w:bCs/>
          <w:lang w:val="en-CA"/>
        </w:rPr>
        <w:t>The final mark is composed of:</w:t>
      </w:r>
    </w:p>
    <w:p w14:paraId="16A76864" w14:textId="77777777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>50% Group assignment (30% written report, 20% case presentation)</w:t>
      </w:r>
    </w:p>
    <w:p w14:paraId="2F5C7901" w14:textId="77777777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 xml:space="preserve">50% Final assessment </w:t>
      </w:r>
    </w:p>
    <w:p w14:paraId="099AE971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  <w:r w:rsidRPr="00117BF3">
        <w:rPr>
          <w:rFonts w:ascii="Times New Roman" w:hAnsi="Times New Roman"/>
          <w:b/>
          <w:bCs/>
          <w:lang w:val="en-CA"/>
        </w:rPr>
        <w:t>Group assignment</w:t>
      </w:r>
    </w:p>
    <w:p w14:paraId="16FA51DF" w14:textId="77777777" w:rsidR="00C75D00" w:rsidRPr="00117BF3" w:rsidRDefault="00C75D00" w:rsidP="00C75D00">
      <w:pPr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>The group assignment would be to develop a critical report around the therapeutic management of a case of clinical interest. Each group will be randomly pre-assigned to a case. The written report will be limited to a maximum of 2500 words. Each group will have 10-15 minutes to present their case.</w:t>
      </w:r>
    </w:p>
    <w:p w14:paraId="1C2385DF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  <w:r w:rsidRPr="00117BF3">
        <w:rPr>
          <w:rFonts w:ascii="Times New Roman" w:hAnsi="Times New Roman"/>
          <w:b/>
          <w:bCs/>
          <w:lang w:val="en-CA"/>
        </w:rPr>
        <w:t>Grading Scale for Group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D00" w:rsidRPr="00832651" w14:paraId="04841DD7" w14:textId="77777777" w:rsidTr="00D21EDE">
        <w:trPr>
          <w:trHeight w:val="488"/>
        </w:trPr>
        <w:tc>
          <w:tcPr>
            <w:tcW w:w="4675" w:type="dxa"/>
          </w:tcPr>
          <w:p w14:paraId="19D375C9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7268D">
              <w:rPr>
                <w:rFonts w:ascii="Times New Roman" w:hAnsi="Times New Roman"/>
                <w:b/>
                <w:bCs/>
                <w:sz w:val="22"/>
                <w:szCs w:val="22"/>
              </w:rPr>
              <w:t>A+ 90-100%</w:t>
            </w:r>
          </w:p>
        </w:tc>
        <w:tc>
          <w:tcPr>
            <w:tcW w:w="4675" w:type="dxa"/>
            <w:vMerge w:val="restart"/>
          </w:tcPr>
          <w:p w14:paraId="605A5538" w14:textId="77777777" w:rsidR="00C75D00" w:rsidRPr="00117BF3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  <w:lang w:val="en-CA"/>
              </w:rPr>
            </w:pPr>
            <w:r w:rsidRPr="00117BF3">
              <w:rPr>
                <w:rFonts w:ascii="Times New Roman" w:hAnsi="Times New Roman"/>
                <w:sz w:val="22"/>
                <w:szCs w:val="22"/>
                <w:lang w:val="en-CA"/>
              </w:rPr>
              <w:t xml:space="preserve">Exemplary range and depth of attainment of intended learning outcomes, secured by discriminating command of a comprehensive range of relevant materials and analyses, and by deployment of considered judgement relating to key issues, </w:t>
            </w:r>
            <w:proofErr w:type="gramStart"/>
            <w:r w:rsidRPr="00117BF3">
              <w:rPr>
                <w:rFonts w:ascii="Times New Roman" w:hAnsi="Times New Roman"/>
                <w:sz w:val="22"/>
                <w:szCs w:val="22"/>
                <w:lang w:val="en-CA"/>
              </w:rPr>
              <w:t>concepts</w:t>
            </w:r>
            <w:proofErr w:type="gramEnd"/>
            <w:r w:rsidRPr="00117BF3">
              <w:rPr>
                <w:rFonts w:ascii="Times New Roman" w:hAnsi="Times New Roman"/>
                <w:sz w:val="22"/>
                <w:szCs w:val="22"/>
                <w:lang w:val="en-CA"/>
              </w:rPr>
              <w:t xml:space="preserve"> and procedures.</w:t>
            </w:r>
          </w:p>
        </w:tc>
      </w:tr>
      <w:tr w:rsidR="00C75D00" w:rsidRPr="0027268D" w14:paraId="517DEBDE" w14:textId="77777777" w:rsidTr="00D21EDE">
        <w:trPr>
          <w:trHeight w:val="554"/>
        </w:trPr>
        <w:tc>
          <w:tcPr>
            <w:tcW w:w="4675" w:type="dxa"/>
          </w:tcPr>
          <w:p w14:paraId="5B796213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7268D">
              <w:rPr>
                <w:rFonts w:ascii="Times New Roman" w:hAnsi="Times New Roman"/>
                <w:b/>
                <w:bCs/>
                <w:sz w:val="22"/>
                <w:szCs w:val="22"/>
              </w:rPr>
              <w:t>A 85-89%</w:t>
            </w:r>
          </w:p>
        </w:tc>
        <w:tc>
          <w:tcPr>
            <w:tcW w:w="4675" w:type="dxa"/>
            <w:vMerge/>
          </w:tcPr>
          <w:p w14:paraId="5AB449BE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C75D00" w:rsidRPr="0027268D" w14:paraId="7605C10D" w14:textId="77777777" w:rsidTr="00D21EDE">
        <w:trPr>
          <w:trHeight w:val="409"/>
        </w:trPr>
        <w:tc>
          <w:tcPr>
            <w:tcW w:w="4675" w:type="dxa"/>
          </w:tcPr>
          <w:p w14:paraId="66CE886D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7268D">
              <w:rPr>
                <w:rFonts w:ascii="Times New Roman" w:hAnsi="Times New Roman"/>
                <w:b/>
                <w:bCs/>
                <w:sz w:val="22"/>
                <w:szCs w:val="22"/>
              </w:rPr>
              <w:t>A- 80-84%</w:t>
            </w:r>
          </w:p>
        </w:tc>
        <w:tc>
          <w:tcPr>
            <w:tcW w:w="4675" w:type="dxa"/>
            <w:vMerge/>
          </w:tcPr>
          <w:p w14:paraId="1C54A334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C75D00" w:rsidRPr="00832651" w14:paraId="00FBD5D0" w14:textId="77777777" w:rsidTr="00D21EDE">
        <w:tc>
          <w:tcPr>
            <w:tcW w:w="4675" w:type="dxa"/>
          </w:tcPr>
          <w:p w14:paraId="55CC14A5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7268D">
              <w:rPr>
                <w:rFonts w:ascii="Times New Roman" w:hAnsi="Times New Roman"/>
                <w:b/>
                <w:bCs/>
                <w:sz w:val="22"/>
                <w:szCs w:val="22"/>
              </w:rPr>
              <w:t>B+ 77-79%</w:t>
            </w:r>
          </w:p>
        </w:tc>
        <w:tc>
          <w:tcPr>
            <w:tcW w:w="4675" w:type="dxa"/>
          </w:tcPr>
          <w:p w14:paraId="1140E0C6" w14:textId="77777777" w:rsidR="00C75D00" w:rsidRPr="00117BF3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  <w:lang w:val="en-CA"/>
              </w:rPr>
            </w:pPr>
            <w:r w:rsidRPr="00117BF3">
              <w:rPr>
                <w:rFonts w:ascii="Times New Roman" w:hAnsi="Times New Roman"/>
                <w:sz w:val="22"/>
                <w:szCs w:val="22"/>
                <w:lang w:val="en-CA"/>
              </w:rPr>
              <w:t>Conclusive attainment of virtually all intended learning outcomes, clearly grounded on a close familiarity with a wide range of supporting evidence, constructively utilised to reveal appreciable depth of understanding</w:t>
            </w:r>
          </w:p>
        </w:tc>
      </w:tr>
      <w:tr w:rsidR="00C75D00" w:rsidRPr="00832651" w14:paraId="057AF0BA" w14:textId="77777777" w:rsidTr="00D21EDE">
        <w:tc>
          <w:tcPr>
            <w:tcW w:w="4675" w:type="dxa"/>
          </w:tcPr>
          <w:p w14:paraId="584643C9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7268D">
              <w:rPr>
                <w:rFonts w:ascii="Times New Roman" w:hAnsi="Times New Roman"/>
                <w:b/>
                <w:bCs/>
                <w:sz w:val="22"/>
                <w:szCs w:val="22"/>
              </w:rPr>
              <w:t>B 73-76%</w:t>
            </w:r>
          </w:p>
        </w:tc>
        <w:tc>
          <w:tcPr>
            <w:tcW w:w="4675" w:type="dxa"/>
          </w:tcPr>
          <w:p w14:paraId="1AA34AD8" w14:textId="77777777" w:rsidR="00C75D00" w:rsidRPr="00117BF3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  <w:lang w:val="en-CA"/>
              </w:rPr>
            </w:pPr>
            <w:r w:rsidRPr="00117BF3">
              <w:rPr>
                <w:rFonts w:ascii="Times New Roman" w:hAnsi="Times New Roman"/>
                <w:sz w:val="22"/>
                <w:szCs w:val="22"/>
                <w:lang w:val="en-CA"/>
              </w:rPr>
              <w:t>Clear attainment of most of the intended learning outcomes, some more securely grasped than others, resting on a circumscribed range of evidence and displaying a variable depth of understanding</w:t>
            </w:r>
          </w:p>
        </w:tc>
      </w:tr>
      <w:tr w:rsidR="00C75D00" w:rsidRPr="00832651" w14:paraId="5ACD969B" w14:textId="77777777" w:rsidTr="00D21EDE">
        <w:tc>
          <w:tcPr>
            <w:tcW w:w="4675" w:type="dxa"/>
          </w:tcPr>
          <w:p w14:paraId="5871C225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7268D">
              <w:rPr>
                <w:rFonts w:ascii="Times New Roman" w:hAnsi="Times New Roman"/>
                <w:b/>
                <w:bCs/>
                <w:sz w:val="22"/>
                <w:szCs w:val="22"/>
              </w:rPr>
              <w:t>B- 70-72%</w:t>
            </w:r>
          </w:p>
        </w:tc>
        <w:tc>
          <w:tcPr>
            <w:tcW w:w="4675" w:type="dxa"/>
          </w:tcPr>
          <w:p w14:paraId="1F31F696" w14:textId="77777777" w:rsidR="00C75D00" w:rsidRPr="00117BF3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  <w:lang w:val="en-CA"/>
              </w:rPr>
            </w:pPr>
            <w:r w:rsidRPr="00117BF3">
              <w:rPr>
                <w:rFonts w:ascii="Times New Roman" w:hAnsi="Times New Roman"/>
                <w:sz w:val="22"/>
                <w:szCs w:val="22"/>
                <w:lang w:val="en-CA"/>
              </w:rPr>
              <w:t>Acceptable attainment of intended learning outcomes, displaying a qualified familiarity with a minimally sufficient range of relevant materials, and a grasp of the analytical issues and concepts which is generally reasonable, albeit insecure</w:t>
            </w:r>
          </w:p>
        </w:tc>
      </w:tr>
      <w:tr w:rsidR="00C75D00" w:rsidRPr="00832651" w14:paraId="0347343E" w14:textId="77777777" w:rsidTr="00D21EDE">
        <w:tc>
          <w:tcPr>
            <w:tcW w:w="4675" w:type="dxa"/>
          </w:tcPr>
          <w:p w14:paraId="1C17A867" w14:textId="77777777" w:rsidR="00C75D00" w:rsidRPr="0027268D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7268D">
              <w:rPr>
                <w:rFonts w:ascii="Times New Roman" w:hAnsi="Times New Roman"/>
                <w:b/>
                <w:bCs/>
                <w:sz w:val="22"/>
                <w:szCs w:val="22"/>
              </w:rPr>
              <w:t>FZ 0-69%</w:t>
            </w:r>
          </w:p>
        </w:tc>
        <w:tc>
          <w:tcPr>
            <w:tcW w:w="4675" w:type="dxa"/>
          </w:tcPr>
          <w:p w14:paraId="52A44711" w14:textId="77777777" w:rsidR="00C75D00" w:rsidRPr="00117BF3" w:rsidRDefault="00C75D00" w:rsidP="00D21EDE">
            <w:pPr>
              <w:rPr>
                <w:rFonts w:ascii="Times New Roman" w:hAnsi="Times New Roman"/>
                <w:b/>
                <w:bCs/>
                <w:sz w:val="22"/>
                <w:szCs w:val="22"/>
                <w:lang w:val="en-CA"/>
              </w:rPr>
            </w:pPr>
            <w:r w:rsidRPr="00117BF3">
              <w:rPr>
                <w:rFonts w:ascii="Times New Roman" w:hAnsi="Times New Roman"/>
                <w:sz w:val="22"/>
                <w:szCs w:val="22"/>
                <w:lang w:val="en-CA"/>
              </w:rPr>
              <w:t>No convincing evidence of attainment of intended learning outcomes, such treatment of the subject as is in evidence being directionless and fragmentary</w:t>
            </w:r>
          </w:p>
        </w:tc>
      </w:tr>
    </w:tbl>
    <w:p w14:paraId="5DABD290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</w:p>
    <w:p w14:paraId="23B9C651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</w:p>
    <w:p w14:paraId="28F9E067" w14:textId="77777777" w:rsidR="00C75D00" w:rsidRPr="00117BF3" w:rsidRDefault="00C75D00" w:rsidP="00C75D00">
      <w:pPr>
        <w:rPr>
          <w:rFonts w:ascii="Times New Roman" w:hAnsi="Times New Roman"/>
          <w:b/>
          <w:bCs/>
          <w:sz w:val="24"/>
          <w:szCs w:val="24"/>
          <w:lang w:val="en-CA"/>
        </w:rPr>
      </w:pPr>
      <w:r w:rsidRPr="00117BF3">
        <w:rPr>
          <w:rFonts w:ascii="Times New Roman" w:hAnsi="Times New Roman"/>
          <w:b/>
          <w:bCs/>
          <w:sz w:val="24"/>
          <w:szCs w:val="24"/>
          <w:lang w:val="en-CA"/>
        </w:rPr>
        <w:t>Final assessment</w:t>
      </w:r>
    </w:p>
    <w:p w14:paraId="15229421" w14:textId="77777777" w:rsidR="00C75D00" w:rsidRPr="00117BF3" w:rsidRDefault="00C75D00" w:rsidP="00C75D00">
      <w:pPr>
        <w:spacing w:line="360" w:lineRule="auto"/>
        <w:rPr>
          <w:rFonts w:ascii="Times New Roman" w:hAnsi="Times New Roman"/>
          <w:lang w:val="en-CA"/>
        </w:rPr>
      </w:pPr>
      <w:r w:rsidRPr="00117BF3">
        <w:rPr>
          <w:rFonts w:ascii="Times New Roman" w:hAnsi="Times New Roman"/>
          <w:lang w:val="en-CA"/>
        </w:rPr>
        <w:t>The final assessment will be in the form of a clinical competency examination. Each student will be presented with a clinical case and will be expected to present adequate knowledge of clinical assessment and therapeutic management</w:t>
      </w:r>
    </w:p>
    <w:p w14:paraId="6A997F1E" w14:textId="77777777" w:rsidR="00C75D00" w:rsidRPr="00117BF3" w:rsidRDefault="00C75D00" w:rsidP="00C75D00">
      <w:pPr>
        <w:spacing w:line="360" w:lineRule="auto"/>
        <w:rPr>
          <w:rFonts w:ascii="Times New Roman" w:hAnsi="Times New Roman"/>
          <w:lang w:val="en-CA"/>
        </w:rPr>
      </w:pPr>
    </w:p>
    <w:p w14:paraId="1DAE8688" w14:textId="77777777" w:rsidR="00C75D00" w:rsidRPr="00117BF3" w:rsidRDefault="00C75D00" w:rsidP="00C75D00">
      <w:pPr>
        <w:rPr>
          <w:rFonts w:ascii="Times New Roman" w:hAnsi="Times New Roman"/>
          <w:b/>
          <w:bCs/>
          <w:lang w:val="en-CA"/>
        </w:rPr>
      </w:pPr>
      <w:r w:rsidRPr="00117BF3">
        <w:rPr>
          <w:rFonts w:ascii="Times New Roman" w:hAnsi="Times New Roman"/>
          <w:b/>
          <w:bCs/>
          <w:lang w:val="en-CA"/>
        </w:rPr>
        <w:t>Evaluation Assessment Tool</w:t>
      </w:r>
    </w:p>
    <w:p w14:paraId="4B6BC0B5" w14:textId="77777777" w:rsidR="00C75D00" w:rsidRPr="0027268D" w:rsidRDefault="00C75D00" w:rsidP="00C75D00">
      <w:pPr>
        <w:pStyle w:val="NormalWeb"/>
        <w:spacing w:before="0" w:beforeAutospacing="0" w:line="360" w:lineRule="auto"/>
        <w:contextualSpacing/>
        <w:jc w:val="both"/>
        <w:rPr>
          <w:rFonts w:eastAsiaTheme="minorHAnsi"/>
          <w:sz w:val="22"/>
          <w:szCs w:val="22"/>
          <w:lang w:val="en-GB" w:eastAsia="en-US"/>
        </w:rPr>
      </w:pPr>
      <w:r w:rsidRPr="0027268D">
        <w:rPr>
          <w:rFonts w:eastAsiaTheme="minorHAnsi"/>
          <w:sz w:val="22"/>
          <w:szCs w:val="22"/>
          <w:lang w:val="en-GB" w:eastAsia="en-US"/>
        </w:rPr>
        <w:t xml:space="preserve">Assessment will be performed by using the Case History Assessment Tool (CHAT). </w:t>
      </w:r>
      <w:r w:rsidRPr="0027268D">
        <w:rPr>
          <w:rFonts w:eastAsiaTheme="minorHAnsi"/>
          <w:sz w:val="22"/>
          <w:szCs w:val="22"/>
          <w:lang w:val="en-GB" w:eastAsia="en-US"/>
        </w:rPr>
        <w:fldChar w:fldCharType="begin"/>
      </w:r>
      <w:r w:rsidRPr="0027268D">
        <w:rPr>
          <w:rFonts w:eastAsiaTheme="minorHAnsi"/>
          <w:sz w:val="22"/>
          <w:szCs w:val="22"/>
          <w:lang w:val="en-GB" w:eastAsia="en-US"/>
        </w:rPr>
        <w:instrText xml:space="preserve"> ADDIN ZOTERO_ITEM CSL_CITATION {"citationID":"zAb8gdm7","properties":{"formattedCitation":"\\super 1\\nosupersub{}","plainCitation":"1","noteIndex":0},"citationItems":[{"id":32334,"uris":["http://zotero.org/users/6266416/items/D4TVNLMI"],"uri":["http://zotero.org/users/6266416/items/D4TVNLMI"],"itemData":{"id":32334,"type":"article-journal","container-title":"BMC Medical Education","DOI":"10.1186/s12909-016-0714-1","ISSN":"1472-6920","issue":"1","journalAbbreviation":"BMC Med Educ","language":"en","page":"192","source":"DOI.org (Crossref)","title":"Validity of a new assessment rubric for a short-answer test of clinical reasoning","volume":"16","author":[{"family":"Yeung","given":"Euson"},{"family":"Kulasagarem","given":"Kulamakan"},{"family":"Woods","given":"Nicole"},{"family":"Dubrowski","given":"Adam"},{"family":"Hodges","given":"Brian"},{"family":"Carnahan","given":"Heather"}],"issued":{"date-parts":[["2016",12]]}}}],"schema":"https://github.com/citation-style-language/schema/raw/master/csl-citation.json"} </w:instrText>
      </w:r>
      <w:r w:rsidRPr="0027268D">
        <w:rPr>
          <w:rFonts w:eastAsiaTheme="minorHAnsi"/>
          <w:sz w:val="22"/>
          <w:szCs w:val="22"/>
          <w:lang w:val="en-GB" w:eastAsia="en-US"/>
        </w:rPr>
        <w:fldChar w:fldCharType="separate"/>
      </w:r>
      <w:r w:rsidRPr="0027268D">
        <w:rPr>
          <w:rFonts w:eastAsiaTheme="minorHAnsi"/>
          <w:sz w:val="22"/>
          <w:szCs w:val="22"/>
          <w:lang w:val="en-GB" w:eastAsia="en-US"/>
        </w:rPr>
        <w:t>1</w:t>
      </w:r>
      <w:r w:rsidRPr="0027268D">
        <w:rPr>
          <w:rFonts w:eastAsiaTheme="minorHAnsi"/>
          <w:sz w:val="22"/>
          <w:szCs w:val="22"/>
          <w:lang w:val="en-GB" w:eastAsia="en-US"/>
        </w:rPr>
        <w:fldChar w:fldCharType="end"/>
      </w:r>
      <w:r w:rsidRPr="0027268D">
        <w:rPr>
          <w:rFonts w:eastAsiaTheme="minorHAnsi"/>
          <w:sz w:val="22"/>
          <w:szCs w:val="22"/>
          <w:lang w:val="en-GB" w:eastAsia="en-US"/>
        </w:rPr>
        <w:t xml:space="preserve"> The CHAT contains 45 assessment items that utilize a 5-point Likert scale with narrative descriptors assigned to ratings 1, 3 and 5. The narrative descriptors were specifically worded to reflect the domain(s) of clinical reasoning being represented by the short-answer question. A rating of 3 on the 5-point Likert scale indicates a passing grade for all items in the assessment rubric.</w:t>
      </w:r>
      <w:r w:rsidRPr="0027268D">
        <w:rPr>
          <w:rFonts w:eastAsiaTheme="minorHAnsi"/>
          <w:sz w:val="22"/>
          <w:szCs w:val="22"/>
          <w:vertAlign w:val="superscript"/>
          <w:lang w:val="en-GB" w:eastAsia="en-US"/>
        </w:rPr>
        <w:fldChar w:fldCharType="begin"/>
      </w:r>
      <w:r w:rsidRPr="0027268D">
        <w:rPr>
          <w:rFonts w:eastAsiaTheme="minorHAnsi"/>
          <w:sz w:val="22"/>
          <w:szCs w:val="22"/>
          <w:vertAlign w:val="superscript"/>
          <w:lang w:val="en-GB" w:eastAsia="en-US"/>
        </w:rPr>
        <w:instrText xml:space="preserve"> ADDIN ZOTERO_ITEM CSL_CITATION {"citationID":"zAb8gdm7","properties":{"formattedCitation":"\\super 1\\nosupersub{}","plainCitation":"1","noteIndex":0},"citationItems":[{"id":32334,"uris":["http://zotero.org/users/6266416/items/D4TVNLMI"],"uri":["http://zotero.org/users/6266416/items/D4TVNLMI"],"itemData":{"id":32334,"type":"article-journal","container-title":"BMC Medical Education","DOI":"10.1186/s12909-016-0714-1","ISSN":"1472-6920","issue":"1","journalAbbreviation":"BMC Med Educ","language":"en","page":"192","source":"DOI.org (Crossref)","title":"Validity of a new assessment rubric for a short-answer test of clinical reasoning","volume":"16","author":[{"family":"Yeung","given":"Euson"},{"family":"Kulasagarem","given":"Kulamakan"},{"family":"Woods","given":"Nicole"},{"family":"Dubrowski","given":"Adam"},{"family":"Hodges","given":"Brian"},{"family":"Carnahan","given":"Heather"}],"issued":{"date-parts":[["2016",12]]}}}],"schema":"https://github.com/citation-style-language/schema/raw/master/csl-citation.json"} </w:instrText>
      </w:r>
      <w:r w:rsidRPr="0027268D">
        <w:rPr>
          <w:rFonts w:eastAsiaTheme="minorHAnsi"/>
          <w:sz w:val="22"/>
          <w:szCs w:val="22"/>
          <w:vertAlign w:val="superscript"/>
          <w:lang w:val="en-GB" w:eastAsia="en-US"/>
        </w:rPr>
        <w:fldChar w:fldCharType="separate"/>
      </w:r>
      <w:r w:rsidRPr="0027268D">
        <w:rPr>
          <w:rFonts w:eastAsiaTheme="minorHAnsi"/>
          <w:sz w:val="22"/>
          <w:szCs w:val="22"/>
          <w:vertAlign w:val="superscript"/>
          <w:lang w:val="en-GB" w:eastAsia="en-US"/>
        </w:rPr>
        <w:t>1</w:t>
      </w:r>
      <w:r w:rsidRPr="0027268D">
        <w:rPr>
          <w:rFonts w:eastAsiaTheme="minorHAnsi"/>
          <w:sz w:val="22"/>
          <w:szCs w:val="22"/>
          <w:vertAlign w:val="superscript"/>
          <w:lang w:val="en-GB" w:eastAsia="en-US"/>
        </w:rPr>
        <w:fldChar w:fldCharType="end"/>
      </w:r>
    </w:p>
    <w:p w14:paraId="7FCCCD85" w14:textId="77777777" w:rsidR="00C75D00" w:rsidRPr="0027268D" w:rsidRDefault="00C75D00" w:rsidP="00C75D00">
      <w:pPr>
        <w:pStyle w:val="NormalWeb"/>
        <w:spacing w:before="0" w:beforeAutospacing="0" w:line="276" w:lineRule="auto"/>
        <w:contextualSpacing/>
        <w:jc w:val="both"/>
      </w:pPr>
    </w:p>
    <w:p w14:paraId="6EF56B7D" w14:textId="77777777" w:rsidR="00C75D00" w:rsidRPr="0027268D" w:rsidRDefault="00C75D00" w:rsidP="00C75D00">
      <w:pPr>
        <w:pStyle w:val="NormalWeb"/>
        <w:spacing w:before="0" w:beforeAutospacing="0" w:line="276" w:lineRule="auto"/>
        <w:contextualSpacing/>
        <w:jc w:val="both"/>
        <w:rPr>
          <w:rFonts w:eastAsiaTheme="minorHAnsi"/>
          <w:sz w:val="22"/>
          <w:szCs w:val="22"/>
          <w:lang w:val="en-GB" w:eastAsia="en-US"/>
        </w:rPr>
      </w:pPr>
      <w:r w:rsidRPr="0027268D">
        <w:rPr>
          <w:rFonts w:eastAsiaTheme="minorHAnsi"/>
          <w:sz w:val="22"/>
          <w:szCs w:val="22"/>
          <w:lang w:val="en-GB" w:eastAsia="en-US"/>
        </w:rPr>
        <w:t>References:</w:t>
      </w:r>
    </w:p>
    <w:p w14:paraId="58298422" w14:textId="77777777" w:rsidR="00C75D00" w:rsidRPr="0027268D" w:rsidRDefault="00C75D00" w:rsidP="00C75D00">
      <w:pPr>
        <w:pStyle w:val="Bibliography"/>
        <w:rPr>
          <w:rFonts w:ascii="Times New Roman" w:hAnsi="Times New Roman"/>
        </w:rPr>
      </w:pPr>
      <w:r w:rsidRPr="0027268D">
        <w:rPr>
          <w:rFonts w:ascii="Times New Roman" w:hAnsi="Times New Roman"/>
        </w:rPr>
        <w:fldChar w:fldCharType="begin"/>
      </w:r>
      <w:r w:rsidRPr="00117BF3">
        <w:rPr>
          <w:rFonts w:ascii="Times New Roman" w:hAnsi="Times New Roman"/>
          <w:lang w:val="en-CA"/>
        </w:rPr>
        <w:instrText xml:space="preserve"> ADDIN ZOTERO_BIBL {"uncited":[],"omitted":[],"custom":[]} CSL_BIBLIOGRAPHY </w:instrText>
      </w:r>
      <w:r w:rsidRPr="0027268D">
        <w:rPr>
          <w:rFonts w:ascii="Times New Roman" w:hAnsi="Times New Roman"/>
        </w:rPr>
        <w:fldChar w:fldCharType="separate"/>
      </w:r>
      <w:r w:rsidRPr="00117BF3">
        <w:rPr>
          <w:rFonts w:ascii="Times New Roman" w:hAnsi="Times New Roman"/>
          <w:lang w:val="en-CA"/>
        </w:rPr>
        <w:t xml:space="preserve">1. </w:t>
      </w:r>
      <w:r w:rsidRPr="00117BF3">
        <w:rPr>
          <w:rFonts w:ascii="Times New Roman" w:hAnsi="Times New Roman"/>
          <w:lang w:val="en-CA"/>
        </w:rPr>
        <w:tab/>
        <w:t xml:space="preserve">Yeung E, Kulasagarem K, Woods N, Dubrowski A, Hodges B, Carnahan H. Validity of a new assessment rubric for a short-answer test of clinical reasoning. </w:t>
      </w:r>
      <w:r w:rsidRPr="0027268D">
        <w:rPr>
          <w:rFonts w:ascii="Times New Roman" w:hAnsi="Times New Roman"/>
        </w:rPr>
        <w:t xml:space="preserve">BMC Med Educ 2016;16(1):192. </w:t>
      </w:r>
    </w:p>
    <w:p w14:paraId="4BBEF194" w14:textId="77777777" w:rsidR="00C75D00" w:rsidRPr="0027268D" w:rsidRDefault="00C75D00" w:rsidP="00C75D00">
      <w:pPr>
        <w:rPr>
          <w:rFonts w:ascii="Times New Roman" w:hAnsi="Times New Roman"/>
          <w:b/>
          <w:bCs/>
        </w:rPr>
      </w:pPr>
      <w:r w:rsidRPr="0027268D">
        <w:rPr>
          <w:rFonts w:ascii="Times New Roman" w:hAnsi="Times New Roman"/>
        </w:rPr>
        <w:fldChar w:fldCharType="end"/>
      </w:r>
    </w:p>
    <w:p w14:paraId="61E1C83B" w14:textId="77777777" w:rsidR="00C75D00" w:rsidRPr="00FB7CC1" w:rsidRDefault="00C75D00" w:rsidP="005576CC">
      <w:pPr>
        <w:pStyle w:val="NormalWeb"/>
        <w:spacing w:before="0" w:beforeAutospacing="0" w:line="276" w:lineRule="auto"/>
        <w:ind w:firstLine="187"/>
        <w:contextualSpacing/>
        <w:jc w:val="both"/>
      </w:pPr>
    </w:p>
    <w:sectPr w:rsidR="00C75D00" w:rsidRPr="00FB7CC1" w:rsidSect="00EA6D71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11" w:footer="125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DB980" w14:textId="77777777" w:rsidR="00335BCD" w:rsidRDefault="00335BCD" w:rsidP="00AF14F0">
      <w:pPr>
        <w:spacing w:after="0" w:line="240" w:lineRule="auto"/>
      </w:pPr>
      <w:r>
        <w:separator/>
      </w:r>
    </w:p>
  </w:endnote>
  <w:endnote w:type="continuationSeparator" w:id="0">
    <w:p w14:paraId="255DC405" w14:textId="77777777" w:rsidR="00335BCD" w:rsidRDefault="00335BCD" w:rsidP="00AF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9066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2B196F" w14:textId="7A711EEF" w:rsidR="00BA79A1" w:rsidRDefault="00BA79A1" w:rsidP="00BA79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39A992" w14:textId="77777777" w:rsidR="00BA79A1" w:rsidRDefault="00BA79A1" w:rsidP="00B15B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85233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24C2E2" w14:textId="39C2D7C2" w:rsidR="00BA79A1" w:rsidRDefault="00BA79A1" w:rsidP="00BA79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3A96">
          <w:rPr>
            <w:rStyle w:val="PageNumber"/>
            <w:noProof/>
          </w:rPr>
          <w:t>35</w:t>
        </w:r>
        <w:r>
          <w:rPr>
            <w:rStyle w:val="PageNumber"/>
          </w:rPr>
          <w:fldChar w:fldCharType="end"/>
        </w:r>
      </w:p>
    </w:sdtContent>
  </w:sdt>
  <w:p w14:paraId="43693BB7" w14:textId="77777777" w:rsidR="00BA79A1" w:rsidRDefault="00BA79A1" w:rsidP="00B15B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82BC" w14:textId="77777777" w:rsidR="00335BCD" w:rsidRDefault="00335BCD" w:rsidP="00AF14F0">
      <w:pPr>
        <w:spacing w:after="0" w:line="240" w:lineRule="auto"/>
      </w:pPr>
      <w:r>
        <w:separator/>
      </w:r>
    </w:p>
  </w:footnote>
  <w:footnote w:type="continuationSeparator" w:id="0">
    <w:p w14:paraId="4D23CBAD" w14:textId="77777777" w:rsidR="00335BCD" w:rsidRDefault="00335BCD" w:rsidP="00AF1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B299" w14:textId="1630C463" w:rsidR="00BA79A1" w:rsidRPr="00AF14F0" w:rsidRDefault="00BA79A1">
    <w:pPr>
      <w:pStyle w:val="Header"/>
      <w:rPr>
        <w:rFonts w:ascii="Times New Roman" w:hAnsi="Times New Roman"/>
        <w:b/>
        <w:bCs/>
        <w:lang w:val="en-CA"/>
      </w:rPr>
    </w:pPr>
    <w:r>
      <w:rPr>
        <w:rFonts w:ascii="Times New Roman" w:hAnsi="Times New Roman"/>
        <w:b/>
        <w:bCs/>
        <w:lang w:val="en-CA"/>
      </w:rPr>
      <w:t xml:space="preserve">Teaching Statement </w:t>
    </w:r>
    <w:r>
      <w:rPr>
        <w:rFonts w:ascii="Times New Roman" w:hAnsi="Times New Roman"/>
        <w:b/>
        <w:bCs/>
        <w:lang w:val="en-CA"/>
      </w:rPr>
      <w:tab/>
    </w:r>
    <w:r>
      <w:rPr>
        <w:rFonts w:ascii="Times New Roman" w:hAnsi="Times New Roman"/>
        <w:b/>
        <w:bCs/>
        <w:lang w:val="en-CA"/>
      </w:rPr>
      <w:tab/>
      <w:t>Pavlos Bobos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07AB"/>
    <w:multiLevelType w:val="hybridMultilevel"/>
    <w:tmpl w:val="A3E884AA"/>
    <w:lvl w:ilvl="0" w:tplc="17E4DA0A">
      <w:start w:val="1"/>
      <w:numFmt w:val="decimal"/>
      <w:lvlText w:val="%1."/>
      <w:lvlJc w:val="left"/>
      <w:pPr>
        <w:ind w:left="892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2"/>
        <w:szCs w:val="22"/>
      </w:rPr>
    </w:lvl>
    <w:lvl w:ilvl="1" w:tplc="60CAB3FC">
      <w:numFmt w:val="bullet"/>
      <w:lvlText w:val="•"/>
      <w:lvlJc w:val="left"/>
      <w:pPr>
        <w:ind w:left="1938" w:hanging="361"/>
      </w:pPr>
      <w:rPr>
        <w:rFonts w:hint="default"/>
      </w:rPr>
    </w:lvl>
    <w:lvl w:ilvl="2" w:tplc="5CAC8C78">
      <w:numFmt w:val="bullet"/>
      <w:lvlText w:val="•"/>
      <w:lvlJc w:val="left"/>
      <w:pPr>
        <w:ind w:left="2976" w:hanging="361"/>
      </w:pPr>
      <w:rPr>
        <w:rFonts w:hint="default"/>
      </w:rPr>
    </w:lvl>
    <w:lvl w:ilvl="3" w:tplc="552C0FA0">
      <w:numFmt w:val="bullet"/>
      <w:lvlText w:val="•"/>
      <w:lvlJc w:val="left"/>
      <w:pPr>
        <w:ind w:left="4014" w:hanging="361"/>
      </w:pPr>
      <w:rPr>
        <w:rFonts w:hint="default"/>
      </w:rPr>
    </w:lvl>
    <w:lvl w:ilvl="4" w:tplc="D7C43AEA">
      <w:numFmt w:val="bullet"/>
      <w:lvlText w:val="•"/>
      <w:lvlJc w:val="left"/>
      <w:pPr>
        <w:ind w:left="5052" w:hanging="361"/>
      </w:pPr>
      <w:rPr>
        <w:rFonts w:hint="default"/>
      </w:rPr>
    </w:lvl>
    <w:lvl w:ilvl="5" w:tplc="703882C8">
      <w:numFmt w:val="bullet"/>
      <w:lvlText w:val="•"/>
      <w:lvlJc w:val="left"/>
      <w:pPr>
        <w:ind w:left="6090" w:hanging="361"/>
      </w:pPr>
      <w:rPr>
        <w:rFonts w:hint="default"/>
      </w:rPr>
    </w:lvl>
    <w:lvl w:ilvl="6" w:tplc="96E41C22">
      <w:numFmt w:val="bullet"/>
      <w:lvlText w:val="•"/>
      <w:lvlJc w:val="left"/>
      <w:pPr>
        <w:ind w:left="7128" w:hanging="361"/>
      </w:pPr>
      <w:rPr>
        <w:rFonts w:hint="default"/>
      </w:rPr>
    </w:lvl>
    <w:lvl w:ilvl="7" w:tplc="B2BC5AFC">
      <w:numFmt w:val="bullet"/>
      <w:lvlText w:val="•"/>
      <w:lvlJc w:val="left"/>
      <w:pPr>
        <w:ind w:left="8166" w:hanging="361"/>
      </w:pPr>
      <w:rPr>
        <w:rFonts w:hint="default"/>
      </w:rPr>
    </w:lvl>
    <w:lvl w:ilvl="8" w:tplc="FA40339E">
      <w:numFmt w:val="bullet"/>
      <w:lvlText w:val="•"/>
      <w:lvlJc w:val="left"/>
      <w:pPr>
        <w:ind w:left="9204" w:hanging="361"/>
      </w:pPr>
      <w:rPr>
        <w:rFonts w:hint="default"/>
      </w:rPr>
    </w:lvl>
  </w:abstractNum>
  <w:abstractNum w:abstractNumId="1" w15:restartNumberingAfterBreak="0">
    <w:nsid w:val="2B713C55"/>
    <w:multiLevelType w:val="multilevel"/>
    <w:tmpl w:val="B23C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306E7"/>
    <w:multiLevelType w:val="hybridMultilevel"/>
    <w:tmpl w:val="3D38EB26"/>
    <w:lvl w:ilvl="0" w:tplc="84B4727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C46541"/>
    <w:multiLevelType w:val="hybridMultilevel"/>
    <w:tmpl w:val="60562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669D8"/>
    <w:multiLevelType w:val="hybridMultilevel"/>
    <w:tmpl w:val="C80CFBA0"/>
    <w:lvl w:ilvl="0" w:tplc="CACCACD2">
      <w:start w:val="1"/>
      <w:numFmt w:val="decimal"/>
      <w:lvlText w:val="%1."/>
      <w:lvlJc w:val="left"/>
      <w:pPr>
        <w:ind w:left="892" w:hanging="36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2"/>
        <w:szCs w:val="22"/>
      </w:rPr>
    </w:lvl>
    <w:lvl w:ilvl="1" w:tplc="9946B622">
      <w:start w:val="2"/>
      <w:numFmt w:val="lowerLetter"/>
      <w:lvlText w:val="%2)"/>
      <w:lvlJc w:val="left"/>
      <w:pPr>
        <w:ind w:left="892" w:hanging="24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2"/>
        <w:szCs w:val="22"/>
      </w:rPr>
    </w:lvl>
    <w:lvl w:ilvl="2" w:tplc="CA18B872">
      <w:numFmt w:val="bullet"/>
      <w:lvlText w:val="•"/>
      <w:lvlJc w:val="left"/>
      <w:pPr>
        <w:ind w:left="2976" w:hanging="247"/>
      </w:pPr>
      <w:rPr>
        <w:rFonts w:hint="default"/>
      </w:rPr>
    </w:lvl>
    <w:lvl w:ilvl="3" w:tplc="A2A07B5C">
      <w:numFmt w:val="bullet"/>
      <w:lvlText w:val="•"/>
      <w:lvlJc w:val="left"/>
      <w:pPr>
        <w:ind w:left="4014" w:hanging="247"/>
      </w:pPr>
      <w:rPr>
        <w:rFonts w:hint="default"/>
      </w:rPr>
    </w:lvl>
    <w:lvl w:ilvl="4" w:tplc="E7FC2C26">
      <w:numFmt w:val="bullet"/>
      <w:lvlText w:val="•"/>
      <w:lvlJc w:val="left"/>
      <w:pPr>
        <w:ind w:left="5052" w:hanging="247"/>
      </w:pPr>
      <w:rPr>
        <w:rFonts w:hint="default"/>
      </w:rPr>
    </w:lvl>
    <w:lvl w:ilvl="5" w:tplc="185E341C">
      <w:numFmt w:val="bullet"/>
      <w:lvlText w:val="•"/>
      <w:lvlJc w:val="left"/>
      <w:pPr>
        <w:ind w:left="6090" w:hanging="247"/>
      </w:pPr>
      <w:rPr>
        <w:rFonts w:hint="default"/>
      </w:rPr>
    </w:lvl>
    <w:lvl w:ilvl="6" w:tplc="70EA413C">
      <w:numFmt w:val="bullet"/>
      <w:lvlText w:val="•"/>
      <w:lvlJc w:val="left"/>
      <w:pPr>
        <w:ind w:left="7128" w:hanging="247"/>
      </w:pPr>
      <w:rPr>
        <w:rFonts w:hint="default"/>
      </w:rPr>
    </w:lvl>
    <w:lvl w:ilvl="7" w:tplc="0C881268">
      <w:numFmt w:val="bullet"/>
      <w:lvlText w:val="•"/>
      <w:lvlJc w:val="left"/>
      <w:pPr>
        <w:ind w:left="8166" w:hanging="247"/>
      </w:pPr>
      <w:rPr>
        <w:rFonts w:hint="default"/>
      </w:rPr>
    </w:lvl>
    <w:lvl w:ilvl="8" w:tplc="9A949974">
      <w:numFmt w:val="bullet"/>
      <w:lvlText w:val="•"/>
      <w:lvlJc w:val="left"/>
      <w:pPr>
        <w:ind w:left="9204" w:hanging="247"/>
      </w:pPr>
      <w:rPr>
        <w:rFonts w:hint="default"/>
      </w:rPr>
    </w:lvl>
  </w:abstractNum>
  <w:abstractNum w:abstractNumId="5" w15:restartNumberingAfterBreak="0">
    <w:nsid w:val="6AAB7802"/>
    <w:multiLevelType w:val="hybridMultilevel"/>
    <w:tmpl w:val="2110C36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620E7C5-F111-4791-BBA8-EE4ECECF2FEA}"/>
    <w:docVar w:name="dgnword-eventsink" w:val="2745016971440"/>
  </w:docVars>
  <w:rsids>
    <w:rsidRoot w:val="00AF14F0"/>
    <w:rsid w:val="000103A2"/>
    <w:rsid w:val="00011E0A"/>
    <w:rsid w:val="000207E5"/>
    <w:rsid w:val="00024539"/>
    <w:rsid w:val="00024CE2"/>
    <w:rsid w:val="00025070"/>
    <w:rsid w:val="00051210"/>
    <w:rsid w:val="00065E59"/>
    <w:rsid w:val="00067550"/>
    <w:rsid w:val="00070AFC"/>
    <w:rsid w:val="0008058F"/>
    <w:rsid w:val="00087361"/>
    <w:rsid w:val="00093C78"/>
    <w:rsid w:val="000962C8"/>
    <w:rsid w:val="000A1306"/>
    <w:rsid w:val="000A1DED"/>
    <w:rsid w:val="000C0453"/>
    <w:rsid w:val="000D0450"/>
    <w:rsid w:val="000D63F0"/>
    <w:rsid w:val="000D79B4"/>
    <w:rsid w:val="000E23D5"/>
    <w:rsid w:val="000E2C2D"/>
    <w:rsid w:val="000E33B9"/>
    <w:rsid w:val="000E406D"/>
    <w:rsid w:val="000F502A"/>
    <w:rsid w:val="001053A7"/>
    <w:rsid w:val="00105DD0"/>
    <w:rsid w:val="00110CAA"/>
    <w:rsid w:val="00117BF3"/>
    <w:rsid w:val="00127230"/>
    <w:rsid w:val="00142D42"/>
    <w:rsid w:val="00144712"/>
    <w:rsid w:val="00160DBC"/>
    <w:rsid w:val="0016375B"/>
    <w:rsid w:val="001672B8"/>
    <w:rsid w:val="00172D7D"/>
    <w:rsid w:val="00176201"/>
    <w:rsid w:val="00185999"/>
    <w:rsid w:val="001873B4"/>
    <w:rsid w:val="00191190"/>
    <w:rsid w:val="00194E63"/>
    <w:rsid w:val="00196713"/>
    <w:rsid w:val="001A4E47"/>
    <w:rsid w:val="001B7DFF"/>
    <w:rsid w:val="001D06D8"/>
    <w:rsid w:val="001D189A"/>
    <w:rsid w:val="001E57AD"/>
    <w:rsid w:val="001F666E"/>
    <w:rsid w:val="001F7A12"/>
    <w:rsid w:val="00206EDB"/>
    <w:rsid w:val="00215287"/>
    <w:rsid w:val="00223BB2"/>
    <w:rsid w:val="00223F27"/>
    <w:rsid w:val="00236407"/>
    <w:rsid w:val="00246B7F"/>
    <w:rsid w:val="00251D68"/>
    <w:rsid w:val="00255360"/>
    <w:rsid w:val="0026196E"/>
    <w:rsid w:val="00262B82"/>
    <w:rsid w:val="00277601"/>
    <w:rsid w:val="00282B7B"/>
    <w:rsid w:val="002850D8"/>
    <w:rsid w:val="0028642A"/>
    <w:rsid w:val="00294C03"/>
    <w:rsid w:val="002950E8"/>
    <w:rsid w:val="00297E82"/>
    <w:rsid w:val="002A0AEC"/>
    <w:rsid w:val="002A7829"/>
    <w:rsid w:val="002B2077"/>
    <w:rsid w:val="002B23BE"/>
    <w:rsid w:val="002B4DF0"/>
    <w:rsid w:val="002B5097"/>
    <w:rsid w:val="002B515C"/>
    <w:rsid w:val="002B5272"/>
    <w:rsid w:val="002B700C"/>
    <w:rsid w:val="002E2D4E"/>
    <w:rsid w:val="002E417E"/>
    <w:rsid w:val="0030008A"/>
    <w:rsid w:val="00301EB4"/>
    <w:rsid w:val="0030779F"/>
    <w:rsid w:val="00307B79"/>
    <w:rsid w:val="0031283D"/>
    <w:rsid w:val="003157A5"/>
    <w:rsid w:val="00316FEB"/>
    <w:rsid w:val="00327C9B"/>
    <w:rsid w:val="00333CD9"/>
    <w:rsid w:val="00335BCD"/>
    <w:rsid w:val="00337A82"/>
    <w:rsid w:val="003410BD"/>
    <w:rsid w:val="0034448C"/>
    <w:rsid w:val="00353E8C"/>
    <w:rsid w:val="003573A8"/>
    <w:rsid w:val="003602C5"/>
    <w:rsid w:val="00360F43"/>
    <w:rsid w:val="003665C1"/>
    <w:rsid w:val="00366E6C"/>
    <w:rsid w:val="003677B6"/>
    <w:rsid w:val="00373023"/>
    <w:rsid w:val="00376AD1"/>
    <w:rsid w:val="00377D2A"/>
    <w:rsid w:val="003820CA"/>
    <w:rsid w:val="00386E1E"/>
    <w:rsid w:val="00391A29"/>
    <w:rsid w:val="00392F05"/>
    <w:rsid w:val="003945FA"/>
    <w:rsid w:val="0039611B"/>
    <w:rsid w:val="003A4593"/>
    <w:rsid w:val="003A75A4"/>
    <w:rsid w:val="003C1935"/>
    <w:rsid w:val="003C583D"/>
    <w:rsid w:val="003C58D8"/>
    <w:rsid w:val="003C64DC"/>
    <w:rsid w:val="003D41D0"/>
    <w:rsid w:val="003E000B"/>
    <w:rsid w:val="003E3EB8"/>
    <w:rsid w:val="00400094"/>
    <w:rsid w:val="00401D96"/>
    <w:rsid w:val="00407701"/>
    <w:rsid w:val="00421FC6"/>
    <w:rsid w:val="0042222D"/>
    <w:rsid w:val="00430B95"/>
    <w:rsid w:val="00430D5E"/>
    <w:rsid w:val="00435E2E"/>
    <w:rsid w:val="00441B6B"/>
    <w:rsid w:val="004510E1"/>
    <w:rsid w:val="00455928"/>
    <w:rsid w:val="004569F0"/>
    <w:rsid w:val="00485608"/>
    <w:rsid w:val="004859CA"/>
    <w:rsid w:val="004932D8"/>
    <w:rsid w:val="004A2B84"/>
    <w:rsid w:val="004A6ECF"/>
    <w:rsid w:val="004A748A"/>
    <w:rsid w:val="004B17B5"/>
    <w:rsid w:val="004C2D01"/>
    <w:rsid w:val="004C349C"/>
    <w:rsid w:val="004C594F"/>
    <w:rsid w:val="004C785D"/>
    <w:rsid w:val="004C7A0E"/>
    <w:rsid w:val="00502CD9"/>
    <w:rsid w:val="00503099"/>
    <w:rsid w:val="00513D3B"/>
    <w:rsid w:val="00532F81"/>
    <w:rsid w:val="00533A96"/>
    <w:rsid w:val="005576CC"/>
    <w:rsid w:val="00560A60"/>
    <w:rsid w:val="005664E2"/>
    <w:rsid w:val="0057301C"/>
    <w:rsid w:val="0058027F"/>
    <w:rsid w:val="005816FB"/>
    <w:rsid w:val="005850C8"/>
    <w:rsid w:val="005875A2"/>
    <w:rsid w:val="00596F34"/>
    <w:rsid w:val="005A14F0"/>
    <w:rsid w:val="005B20F3"/>
    <w:rsid w:val="005C07B1"/>
    <w:rsid w:val="005C624E"/>
    <w:rsid w:val="005D0F19"/>
    <w:rsid w:val="005D72A2"/>
    <w:rsid w:val="005F1E5D"/>
    <w:rsid w:val="005F5A83"/>
    <w:rsid w:val="00600A5E"/>
    <w:rsid w:val="00600EF2"/>
    <w:rsid w:val="006010BE"/>
    <w:rsid w:val="00626B27"/>
    <w:rsid w:val="00630C2E"/>
    <w:rsid w:val="00634447"/>
    <w:rsid w:val="00637AA3"/>
    <w:rsid w:val="00641B30"/>
    <w:rsid w:val="00643B98"/>
    <w:rsid w:val="00643C6C"/>
    <w:rsid w:val="0065462B"/>
    <w:rsid w:val="00654C8D"/>
    <w:rsid w:val="0066438D"/>
    <w:rsid w:val="00677742"/>
    <w:rsid w:val="00680373"/>
    <w:rsid w:val="00681C5B"/>
    <w:rsid w:val="00681DCC"/>
    <w:rsid w:val="00696BFC"/>
    <w:rsid w:val="00697249"/>
    <w:rsid w:val="006A3F3C"/>
    <w:rsid w:val="006B437E"/>
    <w:rsid w:val="006B4607"/>
    <w:rsid w:val="006B6E92"/>
    <w:rsid w:val="006B6F3B"/>
    <w:rsid w:val="006C3BDA"/>
    <w:rsid w:val="006E7850"/>
    <w:rsid w:val="006F5306"/>
    <w:rsid w:val="006F7B47"/>
    <w:rsid w:val="00700FE1"/>
    <w:rsid w:val="00702981"/>
    <w:rsid w:val="00710AFF"/>
    <w:rsid w:val="007156E9"/>
    <w:rsid w:val="007203E1"/>
    <w:rsid w:val="00745351"/>
    <w:rsid w:val="00751E5C"/>
    <w:rsid w:val="00756801"/>
    <w:rsid w:val="00757B89"/>
    <w:rsid w:val="007731D8"/>
    <w:rsid w:val="0077583A"/>
    <w:rsid w:val="00785896"/>
    <w:rsid w:val="007964CC"/>
    <w:rsid w:val="007B0CA5"/>
    <w:rsid w:val="007B5B7B"/>
    <w:rsid w:val="007C0F12"/>
    <w:rsid w:val="007C5A00"/>
    <w:rsid w:val="007D0BFA"/>
    <w:rsid w:val="007E2637"/>
    <w:rsid w:val="007F022B"/>
    <w:rsid w:val="00811862"/>
    <w:rsid w:val="0081339B"/>
    <w:rsid w:val="008146DE"/>
    <w:rsid w:val="00822600"/>
    <w:rsid w:val="00827A3F"/>
    <w:rsid w:val="008321C7"/>
    <w:rsid w:val="00832651"/>
    <w:rsid w:val="008350F9"/>
    <w:rsid w:val="00835AB0"/>
    <w:rsid w:val="0084125A"/>
    <w:rsid w:val="00843434"/>
    <w:rsid w:val="00846DE3"/>
    <w:rsid w:val="00860DDA"/>
    <w:rsid w:val="008664E9"/>
    <w:rsid w:val="0086715C"/>
    <w:rsid w:val="00875593"/>
    <w:rsid w:val="008840A4"/>
    <w:rsid w:val="00885F2A"/>
    <w:rsid w:val="00886374"/>
    <w:rsid w:val="0089199B"/>
    <w:rsid w:val="008B1102"/>
    <w:rsid w:val="008B6E79"/>
    <w:rsid w:val="008D087C"/>
    <w:rsid w:val="008D45F7"/>
    <w:rsid w:val="008E3BE9"/>
    <w:rsid w:val="008E4F61"/>
    <w:rsid w:val="008E560A"/>
    <w:rsid w:val="008E6C29"/>
    <w:rsid w:val="008F3652"/>
    <w:rsid w:val="008F71BD"/>
    <w:rsid w:val="008F7F24"/>
    <w:rsid w:val="0090311E"/>
    <w:rsid w:val="00903983"/>
    <w:rsid w:val="00903D16"/>
    <w:rsid w:val="00911095"/>
    <w:rsid w:val="00922BD0"/>
    <w:rsid w:val="0092778A"/>
    <w:rsid w:val="00932B9D"/>
    <w:rsid w:val="0093485C"/>
    <w:rsid w:val="00935BD7"/>
    <w:rsid w:val="00937395"/>
    <w:rsid w:val="00942983"/>
    <w:rsid w:val="00945EFD"/>
    <w:rsid w:val="0094712B"/>
    <w:rsid w:val="00954AA6"/>
    <w:rsid w:val="00971D10"/>
    <w:rsid w:val="00977F94"/>
    <w:rsid w:val="0098122B"/>
    <w:rsid w:val="0098782A"/>
    <w:rsid w:val="00992BD4"/>
    <w:rsid w:val="00996A8B"/>
    <w:rsid w:val="00997AA1"/>
    <w:rsid w:val="009A2947"/>
    <w:rsid w:val="009B5476"/>
    <w:rsid w:val="009C0B53"/>
    <w:rsid w:val="009C4332"/>
    <w:rsid w:val="009E39A9"/>
    <w:rsid w:val="009E7BB2"/>
    <w:rsid w:val="009F0C15"/>
    <w:rsid w:val="009F173B"/>
    <w:rsid w:val="00A03615"/>
    <w:rsid w:val="00A04951"/>
    <w:rsid w:val="00A06486"/>
    <w:rsid w:val="00A11339"/>
    <w:rsid w:val="00A30F9A"/>
    <w:rsid w:val="00A34319"/>
    <w:rsid w:val="00A4095C"/>
    <w:rsid w:val="00A45C5D"/>
    <w:rsid w:val="00A46951"/>
    <w:rsid w:val="00A550FD"/>
    <w:rsid w:val="00A60615"/>
    <w:rsid w:val="00A728D8"/>
    <w:rsid w:val="00A8193B"/>
    <w:rsid w:val="00A81BB9"/>
    <w:rsid w:val="00A92B74"/>
    <w:rsid w:val="00A94476"/>
    <w:rsid w:val="00AB7886"/>
    <w:rsid w:val="00AC1A08"/>
    <w:rsid w:val="00AC39BB"/>
    <w:rsid w:val="00AD28BF"/>
    <w:rsid w:val="00AD335C"/>
    <w:rsid w:val="00AD4AAF"/>
    <w:rsid w:val="00AE0913"/>
    <w:rsid w:val="00AE4C9B"/>
    <w:rsid w:val="00AF043D"/>
    <w:rsid w:val="00AF06E3"/>
    <w:rsid w:val="00AF14F0"/>
    <w:rsid w:val="00AF222D"/>
    <w:rsid w:val="00AF4626"/>
    <w:rsid w:val="00AF4F15"/>
    <w:rsid w:val="00B07081"/>
    <w:rsid w:val="00B15BA9"/>
    <w:rsid w:val="00B235ED"/>
    <w:rsid w:val="00B31B2A"/>
    <w:rsid w:val="00B367F7"/>
    <w:rsid w:val="00B41D4F"/>
    <w:rsid w:val="00B451A9"/>
    <w:rsid w:val="00B52F11"/>
    <w:rsid w:val="00B558EF"/>
    <w:rsid w:val="00B62192"/>
    <w:rsid w:val="00B62C81"/>
    <w:rsid w:val="00B70FCF"/>
    <w:rsid w:val="00B73886"/>
    <w:rsid w:val="00B76B8F"/>
    <w:rsid w:val="00B8608A"/>
    <w:rsid w:val="00B955AF"/>
    <w:rsid w:val="00BA11E9"/>
    <w:rsid w:val="00BA4576"/>
    <w:rsid w:val="00BA79A1"/>
    <w:rsid w:val="00BD2487"/>
    <w:rsid w:val="00BE1902"/>
    <w:rsid w:val="00BE1D33"/>
    <w:rsid w:val="00C06484"/>
    <w:rsid w:val="00C067CE"/>
    <w:rsid w:val="00C07CE3"/>
    <w:rsid w:val="00C1163A"/>
    <w:rsid w:val="00C13E88"/>
    <w:rsid w:val="00C15661"/>
    <w:rsid w:val="00C2761D"/>
    <w:rsid w:val="00C33F41"/>
    <w:rsid w:val="00C560CC"/>
    <w:rsid w:val="00C570C1"/>
    <w:rsid w:val="00C7393A"/>
    <w:rsid w:val="00C75D00"/>
    <w:rsid w:val="00C76C77"/>
    <w:rsid w:val="00C76FBF"/>
    <w:rsid w:val="00C809CF"/>
    <w:rsid w:val="00C810C6"/>
    <w:rsid w:val="00C87746"/>
    <w:rsid w:val="00C90112"/>
    <w:rsid w:val="00C95557"/>
    <w:rsid w:val="00C95624"/>
    <w:rsid w:val="00C95887"/>
    <w:rsid w:val="00CA0008"/>
    <w:rsid w:val="00CB0BBF"/>
    <w:rsid w:val="00CB24BA"/>
    <w:rsid w:val="00CB2AF7"/>
    <w:rsid w:val="00CC4C4E"/>
    <w:rsid w:val="00CC7AD5"/>
    <w:rsid w:val="00CD2949"/>
    <w:rsid w:val="00CD2B26"/>
    <w:rsid w:val="00CD6C34"/>
    <w:rsid w:val="00CD7160"/>
    <w:rsid w:val="00CF000E"/>
    <w:rsid w:val="00CF6063"/>
    <w:rsid w:val="00D005AD"/>
    <w:rsid w:val="00D12BA2"/>
    <w:rsid w:val="00D22F9D"/>
    <w:rsid w:val="00D2431C"/>
    <w:rsid w:val="00D26C18"/>
    <w:rsid w:val="00D30CB1"/>
    <w:rsid w:val="00D445AD"/>
    <w:rsid w:val="00D60D4B"/>
    <w:rsid w:val="00D648C0"/>
    <w:rsid w:val="00D661C7"/>
    <w:rsid w:val="00D72335"/>
    <w:rsid w:val="00D81056"/>
    <w:rsid w:val="00D81D74"/>
    <w:rsid w:val="00D84913"/>
    <w:rsid w:val="00D85567"/>
    <w:rsid w:val="00DB4FCC"/>
    <w:rsid w:val="00DC1BE8"/>
    <w:rsid w:val="00DC2B39"/>
    <w:rsid w:val="00DD0714"/>
    <w:rsid w:val="00DD3653"/>
    <w:rsid w:val="00DD7907"/>
    <w:rsid w:val="00DE1EBC"/>
    <w:rsid w:val="00DE2D9C"/>
    <w:rsid w:val="00DE452C"/>
    <w:rsid w:val="00DF08AE"/>
    <w:rsid w:val="00DF1F38"/>
    <w:rsid w:val="00E10FA3"/>
    <w:rsid w:val="00E14AFC"/>
    <w:rsid w:val="00E212CB"/>
    <w:rsid w:val="00E23B31"/>
    <w:rsid w:val="00E261E1"/>
    <w:rsid w:val="00E41624"/>
    <w:rsid w:val="00E4339D"/>
    <w:rsid w:val="00E438D3"/>
    <w:rsid w:val="00E44C54"/>
    <w:rsid w:val="00E60EE9"/>
    <w:rsid w:val="00E66DEB"/>
    <w:rsid w:val="00E81858"/>
    <w:rsid w:val="00E918DF"/>
    <w:rsid w:val="00EA6D71"/>
    <w:rsid w:val="00EB4D44"/>
    <w:rsid w:val="00EB7D01"/>
    <w:rsid w:val="00EB7FF6"/>
    <w:rsid w:val="00EC430F"/>
    <w:rsid w:val="00EC6472"/>
    <w:rsid w:val="00EC7EF5"/>
    <w:rsid w:val="00ED2ADD"/>
    <w:rsid w:val="00EE77C5"/>
    <w:rsid w:val="00EF1E4A"/>
    <w:rsid w:val="00EF6CD8"/>
    <w:rsid w:val="00EF7D47"/>
    <w:rsid w:val="00F003D4"/>
    <w:rsid w:val="00F11A5A"/>
    <w:rsid w:val="00F13477"/>
    <w:rsid w:val="00F20FE1"/>
    <w:rsid w:val="00F2181F"/>
    <w:rsid w:val="00F33426"/>
    <w:rsid w:val="00F37258"/>
    <w:rsid w:val="00F42555"/>
    <w:rsid w:val="00F44FAA"/>
    <w:rsid w:val="00F65C84"/>
    <w:rsid w:val="00F82EA9"/>
    <w:rsid w:val="00F90543"/>
    <w:rsid w:val="00F93BB5"/>
    <w:rsid w:val="00FA23E8"/>
    <w:rsid w:val="00FB7CC1"/>
    <w:rsid w:val="00FC29E3"/>
    <w:rsid w:val="00FC4442"/>
    <w:rsid w:val="00FD22BF"/>
    <w:rsid w:val="00FD3B5D"/>
    <w:rsid w:val="00FE05D0"/>
    <w:rsid w:val="00FE7328"/>
    <w:rsid w:val="00FE7DF0"/>
    <w:rsid w:val="00FF2234"/>
    <w:rsid w:val="2835E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D4404"/>
  <w15:chartTrackingRefBased/>
  <w15:docId w15:val="{36876BE4-919A-BD45-8B6A-694F6434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F0"/>
    <w:pPr>
      <w:widowControl/>
      <w:spacing w:after="200" w:line="276" w:lineRule="auto"/>
    </w:pPr>
    <w:rPr>
      <w:rFonts w:ascii="Calibri" w:eastAsia="Calibri" w:hAnsi="Calibri" w:cs="Times New Roman"/>
      <w:lang w:val="el-GR"/>
    </w:rPr>
  </w:style>
  <w:style w:type="paragraph" w:styleId="Heading1">
    <w:name w:val="heading 1"/>
    <w:basedOn w:val="Normal"/>
    <w:link w:val="Heading1Char"/>
    <w:uiPriority w:val="9"/>
    <w:qFormat/>
    <w:rsid w:val="005816FB"/>
    <w:pPr>
      <w:ind w:left="106" w:right="6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816FB"/>
    <w:pPr>
      <w:ind w:left="106" w:right="6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5816FB"/>
    <w:pPr>
      <w:spacing w:before="72"/>
      <w:ind w:left="106" w:right="-1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816FB"/>
    <w:pPr>
      <w:spacing w:before="42"/>
      <w:ind w:left="154" w:right="478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5816FB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816FB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816FB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5816FB"/>
    <w:pPr>
      <w:spacing w:before="1"/>
      <w:ind w:left="682"/>
    </w:pPr>
  </w:style>
  <w:style w:type="character" w:customStyle="1" w:styleId="BodyTextChar">
    <w:name w:val="Body Text Char"/>
    <w:basedOn w:val="DefaultParagraphFont"/>
    <w:link w:val="BodyText"/>
    <w:uiPriority w:val="1"/>
    <w:rsid w:val="005816FB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5816FB"/>
    <w:pPr>
      <w:spacing w:before="121"/>
      <w:ind w:left="682" w:right="180" w:hanging="556"/>
    </w:pPr>
    <w:rPr>
      <w:u w:val="single" w:color="000000"/>
    </w:rPr>
  </w:style>
  <w:style w:type="paragraph" w:styleId="NormalWeb">
    <w:name w:val="Normal (Web)"/>
    <w:basedOn w:val="Normal"/>
    <w:uiPriority w:val="99"/>
    <w:unhideWhenUsed/>
    <w:rsid w:val="00AF14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AF1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F0"/>
    <w:rPr>
      <w:rFonts w:ascii="Calibri" w:eastAsia="Calibri" w:hAnsi="Calibri" w:cs="Times New Roman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AF1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F0"/>
    <w:rPr>
      <w:rFonts w:ascii="Calibri" w:eastAsia="Calibri" w:hAnsi="Calibri" w:cs="Times New Roman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E8"/>
    <w:rPr>
      <w:rFonts w:ascii="Segoe UI" w:eastAsia="Calibri" w:hAnsi="Segoe UI" w:cs="Segoe UI"/>
      <w:sz w:val="18"/>
      <w:szCs w:val="18"/>
      <w:lang w:val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DC1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BE8"/>
    <w:rPr>
      <w:rFonts w:ascii="Calibri" w:eastAsia="Calibri" w:hAnsi="Calibri" w:cs="Times New Roman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BE8"/>
    <w:rPr>
      <w:rFonts w:ascii="Calibri" w:eastAsia="Calibri" w:hAnsi="Calibri" w:cs="Times New Roman"/>
      <w:b/>
      <w:bCs/>
      <w:sz w:val="20"/>
      <w:szCs w:val="20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B15BA9"/>
  </w:style>
  <w:style w:type="paragraph" w:styleId="Bibliography">
    <w:name w:val="Bibliography"/>
    <w:basedOn w:val="Normal"/>
    <w:next w:val="Normal"/>
    <w:uiPriority w:val="37"/>
    <w:unhideWhenUsed/>
    <w:rsid w:val="00AF06E3"/>
    <w:pPr>
      <w:tabs>
        <w:tab w:val="left" w:pos="380"/>
      </w:tabs>
      <w:spacing w:after="240" w:line="240" w:lineRule="auto"/>
      <w:ind w:left="384" w:hanging="384"/>
    </w:pPr>
  </w:style>
  <w:style w:type="table" w:styleId="TableGrid">
    <w:name w:val="Table Grid"/>
    <w:basedOn w:val="TableNormal"/>
    <w:uiPriority w:val="39"/>
    <w:rsid w:val="00C75D00"/>
    <w:pPr>
      <w:widowControl/>
    </w:pPr>
    <w:rPr>
      <w:rFonts w:eastAsiaTheme="minorHAnsi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 Bobos</cp:lastModifiedBy>
  <cp:revision>2</cp:revision>
  <dcterms:created xsi:type="dcterms:W3CDTF">2022-02-22T19:59:00Z</dcterms:created>
  <dcterms:modified xsi:type="dcterms:W3CDTF">2022-02-22T19:59:00Z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id="TnXyKqlM"/&gt;&lt;style id="http://www.zotero.org/styles/the-new-england-journal-of-medicine" hasBibliography="1" bibliographyStyleHasBeenSet="1"/&gt;&lt;prefs&gt;&lt;pref name="fieldType" value="Field"/&gt;&lt;/prefs</vt:lpwstr>
  </property>
  <property fmtid="{D5CDD505-2E9C-101B-9397-08002B2CF9AE}" pid="3" name="ZOTERO_PREF_2">
    <vt:lpwstr>&gt;&lt;/data&gt;</vt:lpwstr>
  </property>
</Properties>
</file>