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3B88A" w14:textId="77777777" w:rsidR="00EE7BB4" w:rsidRDefault="008712F0">
      <w:pPr>
        <w:spacing w:after="0" w:line="240" w:lineRule="auto"/>
      </w:pPr>
      <w:r>
        <w:rPr>
          <w:rFonts w:ascii="Wix Madefor Display SemiBold" w:hAnsi="Wix Madefor Display SemiBold"/>
          <w:b/>
          <w:color w:val="4280F4"/>
          <w:sz w:val="28"/>
        </w:rPr>
        <w:t>Claude Skills Library — Cheat Sheet</w:t>
      </w:r>
    </w:p>
    <w:p w14:paraId="0A8B77E1" w14:textId="77777777" w:rsidR="00EE7BB4" w:rsidRDefault="008712F0">
      <w:pPr>
        <w:spacing w:after="60" w:line="240" w:lineRule="auto"/>
      </w:pPr>
      <w:r>
        <w:rPr>
          <w:rFonts w:ascii="Wix Madefor Display" w:hAnsi="Wix Madefor Display"/>
          <w:i/>
          <w:color w:val="666666"/>
          <w:sz w:val="16"/>
        </w:rPr>
        <w:t>31 skills · 2 pipelines · Pattern Investment Team · April 2026 · Pattern Investment Team · April 2026</w:t>
      </w:r>
    </w:p>
    <w:tbl>
      <w:tblPr>
        <w:tblW w:w="14700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700"/>
        <w:gridCol w:w="6500"/>
        <w:gridCol w:w="5850"/>
      </w:tblGrid>
      <w:tr w:rsidR="00EE7BB4" w14:paraId="268A09AE" w14:textId="77777777">
        <w:trPr>
          <w:trHeight w:val="240"/>
        </w:trPr>
        <w:tc>
          <w:tcPr>
            <w:tcW w:w="650" w:type="dxa"/>
            <w:shd w:val="clear" w:color="auto" w:fill="0F476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29BE0" w14:textId="77777777" w:rsidR="00EE7BB4" w:rsidRDefault="00EE7BB4">
            <w:pPr>
              <w:spacing w:after="0" w:line="240" w:lineRule="auto"/>
            </w:pPr>
          </w:p>
        </w:tc>
        <w:tc>
          <w:tcPr>
            <w:tcW w:w="1700" w:type="dxa"/>
            <w:shd w:val="clear" w:color="auto" w:fill="0F476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2AF7F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FFFFFF"/>
                <w:sz w:val="18"/>
              </w:rPr>
              <w:t>Skill</w:t>
            </w:r>
          </w:p>
        </w:tc>
        <w:tc>
          <w:tcPr>
            <w:tcW w:w="6500" w:type="dxa"/>
            <w:shd w:val="clear" w:color="auto" w:fill="0F476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39425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FFFFFF"/>
                <w:sz w:val="18"/>
              </w:rPr>
              <w:t>What it does</w:t>
            </w:r>
          </w:p>
        </w:tc>
        <w:tc>
          <w:tcPr>
            <w:tcW w:w="5850" w:type="dxa"/>
            <w:shd w:val="clear" w:color="auto" w:fill="0F476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736B1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FFFFFF"/>
                <w:sz w:val="18"/>
              </w:rPr>
              <w:t>Output</w:t>
            </w:r>
          </w:p>
        </w:tc>
      </w:tr>
      <w:tr w:rsidR="00EE7BB4" w14:paraId="4FBAEBED" w14:textId="77777777">
        <w:tc>
          <w:tcPr>
            <w:tcW w:w="650" w:type="dxa"/>
            <w:shd w:val="clear" w:color="auto" w:fill="E6EF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A228D6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4280F4"/>
                <w:sz w:val="16"/>
              </w:rPr>
              <w:t>L1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055E4E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mckinsey-consultant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FF9188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MECE trees, 7 strategy dimensions, Six Screening Questions, Pyramid Principle. Analytical OS for investment work.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7ED4EA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Structured decomposition, frameworks, Six Screening Questions screens</w:t>
            </w:r>
          </w:p>
        </w:tc>
      </w:tr>
      <w:tr w:rsidR="00EE7BB4" w14:paraId="5DBC3E8C" w14:textId="77777777">
        <w:tc>
          <w:tcPr>
            <w:tcW w:w="650" w:type="dxa"/>
            <w:shd w:val="clear" w:color="auto" w:fill="ECE5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F9B18C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3A00FD"/>
                <w:sz w:val="16"/>
              </w:rPr>
              <w:t>L2</w:t>
            </w:r>
          </w:p>
        </w:tc>
        <w:tc>
          <w:tcPr>
            <w:tcW w:w="17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1D2885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market-research</w:t>
            </w:r>
          </w:p>
        </w:tc>
        <w:tc>
          <w:tcPr>
            <w:tcW w:w="65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A835ED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Pyramid research L4→L3→L2→L2b→L1. Standalone or IC Memo Mode. Domain templates auto-load.</w:t>
            </w:r>
          </w:p>
        </w:tc>
        <w:tc>
          <w:tcPr>
            <w:tcW w:w="585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29CD78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Full research report OR evidence base for IC memo ([F]/[E]/[H] tags)</w:t>
            </w:r>
          </w:p>
        </w:tc>
      </w:tr>
      <w:tr w:rsidR="00EE7BB4" w14:paraId="780CAD99" w14:textId="77777777">
        <w:tc>
          <w:tcPr>
            <w:tcW w:w="650" w:type="dxa"/>
            <w:shd w:val="clear" w:color="auto" w:fill="ECE5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B8656A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3A00FD"/>
                <w:sz w:val="16"/>
              </w:rPr>
              <w:t>L2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176434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ntb-diligence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6C10C8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Standalone 4-phase NTB diligence, 2 checkpoints, MOIC sum tolerance ±15%.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CCA617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4–7 NTBs + evidence + MOIC + boundability + diligence plan + stress test</w:t>
            </w:r>
          </w:p>
        </w:tc>
      </w:tr>
      <w:tr w:rsidR="00EE7BB4" w14:paraId="05016E45" w14:textId="77777777">
        <w:tc>
          <w:tcPr>
            <w:tcW w:w="650" w:type="dxa"/>
            <w:shd w:val="clear" w:color="auto" w:fill="ECE5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6CC058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3A00FD"/>
                <w:sz w:val="16"/>
              </w:rPr>
              <w:t>L2</w:t>
            </w:r>
          </w:p>
        </w:tc>
        <w:tc>
          <w:tcPr>
            <w:tcW w:w="17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1BA9E3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ic-memo</w:t>
            </w:r>
          </w:p>
        </w:tc>
        <w:tc>
          <w:tcPr>
            <w:tcW w:w="65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5152F7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10-section PE buyout memo. Consumes ntb-diligence upstream. 5-pass iteration incl. Pass 4c boundability.</w:t>
            </w:r>
          </w:p>
        </w:tc>
        <w:tc>
          <w:tcPr>
            <w:tcW w:w="585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E89DFA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IC-ready 10-section investment memo (4–15 pages by decision context)</w:t>
            </w:r>
          </w:p>
        </w:tc>
      </w:tr>
      <w:tr w:rsidR="00EE7BB4" w14:paraId="1D2ED19B" w14:textId="77777777">
        <w:tc>
          <w:tcPr>
            <w:tcW w:w="650" w:type="dxa"/>
            <w:shd w:val="clear" w:color="auto" w:fill="ECE5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EFF681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3A00FD"/>
                <w:sz w:val="16"/>
              </w:rPr>
              <w:t>L2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D0777F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competitive-moat-assessment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852BA9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5-step moat methodology. Runs at L2b handoff from market-research L2 competitor profiles.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E8DB38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Moat verdict per competitor: STRONG / MODERATE / WEAK / NOMINAL</w:t>
            </w:r>
          </w:p>
        </w:tc>
      </w:tr>
      <w:tr w:rsidR="00EE7BB4" w14:paraId="54E1D8FF" w14:textId="77777777">
        <w:tc>
          <w:tcPr>
            <w:tcW w:w="650" w:type="dxa"/>
            <w:shd w:val="clear" w:color="auto" w:fill="ECE5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2BEE1E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3A00FD"/>
                <w:sz w:val="16"/>
              </w:rPr>
              <w:t>L2</w:t>
            </w:r>
          </w:p>
        </w:tc>
        <w:tc>
          <w:tcPr>
            <w:tcW w:w="17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5AC153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executive-summary-writer</w:t>
            </w:r>
          </w:p>
        </w:tc>
        <w:tc>
          <w:tcPr>
            <w:tcW w:w="65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B7717C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4 variants: one-page memo, deck slide, briefing paragraph, multi-section.</w:t>
            </w:r>
          </w:p>
        </w:tc>
        <w:tc>
          <w:tcPr>
            <w:tcW w:w="585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895DD6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Compressed executive summary matched to distribution format</w:t>
            </w:r>
          </w:p>
        </w:tc>
      </w:tr>
      <w:tr w:rsidR="00EE7BB4" w14:paraId="D2E3F4A5A0" w14:textId="77777777">
        <w:tc>
          <w:tcPr>
            <w:tcW w:w="650" w:type="dxa"/>
            <w:shd w:val="clear" w:color="auto" w:fill="E6EF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D2E3F4A5A1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4280F4"/>
                <w:sz w:val="16"/>
              </w:rPr>
              <w:t>L5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D2E3F4A5A2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managing-up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D2E3F4A5A3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Frameworks for executive relationship management, influencing leadership without authority, and navigating organizational dynamics. Covers upward communication, alignment, and managing difficult conversations.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D2E3F4A5A4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Structured advice, communication scripts, or frameworks — no formal document output</w:t>
            </w:r>
          </w:p>
        </w:tc>
      </w:tr>
      <w:tr w:rsidR="00EE7BB4" w14:paraId="3DF76AD8" w14:textId="77777777">
        <w:tc>
          <w:tcPr>
            <w:tcW w:w="650" w:type="dxa"/>
            <w:shd w:val="clear" w:color="auto" w:fill="FAEED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4E8B05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C55A11"/>
                <w:sz w:val="16"/>
              </w:rPr>
              <w:t>L3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383D99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writing-style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9FD6F2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5-step prose self-review. Group E draft artifact check. Step 1B Source Attribution Integrity.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05DCE1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Hardened prose with attribution validated, draft artifacts removed</w:t>
            </w:r>
          </w:p>
        </w:tc>
      </w:tr>
      <w:tr w:rsidR="00EE7BB4" w14:paraId="366E9069" w14:textId="77777777">
        <w:tc>
          <w:tcPr>
            <w:tcW w:w="650" w:type="dxa"/>
            <w:shd w:val="clear" w:color="auto" w:fill="FAEED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CAC8C5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C55A11"/>
                <w:sz w:val="16"/>
              </w:rPr>
              <w:t>L3</w:t>
            </w:r>
          </w:p>
        </w:tc>
        <w:tc>
          <w:tcPr>
            <w:tcW w:w="17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85016A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claim-scrutinizer</w:t>
            </w:r>
          </w:p>
        </w:tc>
        <w:tc>
          <w:tcPr>
            <w:tcW w:w="65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93FCCD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7-part claim test + Six Screening Questions (Type A) + IC memo structure check.</w:t>
            </w:r>
          </w:p>
        </w:tc>
        <w:tc>
          <w:tcPr>
            <w:tcW w:w="585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560E47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Redline on every material claim; structure check CRITICAL/WARNING/MINOR</w:t>
            </w:r>
          </w:p>
        </w:tc>
      </w:tr>
      <w:tr w:rsidR="00EE7BB4" w14:paraId="47173CE1" w14:textId="77777777">
        <w:tc>
          <w:tcPr>
            <w:tcW w:w="650" w:type="dxa"/>
            <w:shd w:val="clear" w:color="auto" w:fill="FAEED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A6E516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C55A11"/>
                <w:sz w:val="16"/>
              </w:rPr>
              <w:t>L3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AF47C4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red-team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61350D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6-gate attack lenses. Base rate reference table. Kill triggers template.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3CD729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Attack vectors, kill scenarios, bear case, scorecard with KILL/WOUND ratings</w:t>
            </w:r>
          </w:p>
        </w:tc>
      </w:tr>
      <w:tr w:rsidR="00EE7BB4" w14:paraId="74A7B173" w14:textId="77777777">
        <w:tc>
          <w:tcPr>
            <w:tcW w:w="650" w:type="dxa"/>
            <w:shd w:val="clear" w:color="auto" w:fill="FAEED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874D51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C55A11"/>
                <w:sz w:val="16"/>
              </w:rPr>
              <w:t>L3</w:t>
            </w:r>
          </w:p>
        </w:tc>
        <w:tc>
          <w:tcPr>
            <w:tcW w:w="17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AE0481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pre-mortem</w:t>
            </w:r>
          </w:p>
        </w:tc>
        <w:tc>
          <w:tcPr>
            <w:tcW w:w="65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EF87CE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10-category FM inventory + 9-field deep dive for material FMs. Base Assumptions Table. Section 6↔7 reconciliation.</w:t>
            </w:r>
          </w:p>
        </w:tc>
        <w:tc>
          <w:tcPr>
            <w:tcW w:w="585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39B37E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FM registry + NTB mapping + compound paths + Gap Prioritisation + IC narrative</w:t>
            </w:r>
          </w:p>
        </w:tc>
      </w:tr>
      <w:tr w:rsidR="00EE7BB4" w14:paraId="731EE30D" w14:textId="77777777">
        <w:tc>
          <w:tcPr>
            <w:tcW w:w="650" w:type="dxa"/>
            <w:shd w:val="clear" w:color="auto" w:fill="FAEED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4F9052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C55A11"/>
                <w:sz w:val="16"/>
              </w:rPr>
              <w:t>L3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608A41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boundability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A4D21A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6-module scoring (30-point scale), 5 disqualification gates, 5-bucket underwriting treatment. PE control vs. public equity long variants.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1D1E44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Score + classification + protections (sizing, entry, trim triggers, research)</w:t>
            </w:r>
          </w:p>
        </w:tc>
      </w:tr>
      <w:tr w:rsidR="00EE7BB4" w14:paraId="1544C73C" w14:textId="77777777">
        <w:tc>
          <w:tcPr>
            <w:tcW w:w="650" w:type="dxa"/>
            <w:shd w:val="clear" w:color="auto" w:fill="EAF3D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F96D73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375623"/>
                <w:sz w:val="16"/>
              </w:rPr>
              <w:t>L4</w:t>
            </w:r>
          </w:p>
        </w:tc>
        <w:tc>
          <w:tcPr>
            <w:tcW w:w="17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E894D8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pattern-docx</w:t>
            </w:r>
          </w:p>
        </w:tc>
        <w:tc>
          <w:tcPr>
            <w:tcW w:w="65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A2E190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Branded .docx via docx-js body + Python XML patch + canonical template transplant.</w:t>
            </w:r>
          </w:p>
        </w:tc>
        <w:tc>
          <w:tcPr>
            <w:tcW w:w="585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B4198C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Pattern Word doc (Wix Madefor Display, brand colors, header/footer/logo)</w:t>
            </w:r>
          </w:p>
        </w:tc>
      </w:tr>
      <w:tr w:rsidR="00EE7BB4" w14:paraId="5CB18AC1" w14:textId="77777777">
        <w:tc>
          <w:tcPr>
            <w:tcW w:w="650" w:type="dxa"/>
            <w:shd w:val="clear" w:color="auto" w:fill="EAF3D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9C0531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375623"/>
                <w:sz w:val="16"/>
              </w:rPr>
              <w:t>L4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7FEBB7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pattern-investment-pptx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8286D3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IC / PE / deal decks with slide-title insight-statement test.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7B2119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Pattern PowerPoint for investment materials</w:t>
            </w:r>
          </w:p>
        </w:tc>
      </w:tr>
      <w:tr w:rsidR="00EE7BB4" w14:paraId="E3F4A5B6A0" w14:textId="77777777">
        <w:tc>
          <w:tcPr>
            <w:tcW w:w="650" w:type="dxa"/>
            <w:shd w:val="clear" w:color="auto" w:fill="E6EF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E3F4A5B6A1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4280F4"/>
                <w:sz w:val="16"/>
              </w:rPr>
              <w:t>L4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E3F4A5B6A2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written-communication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E3F4A5B6A3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Emails, memos, strategy documents, and announcements. Covers tone calibration for audience and stakes, structure selection (BLUF vs. narrative), and edit passes. For external communications and internal alignment.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E3F4A5B6A4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Polished email, memo, or announcement in Pattern voice</w:t>
            </w:r>
          </w:p>
        </w:tc>
      </w:tr>
      <w:tr w:rsidR="00EE7BB4" w14:paraId="F4A5B6C7A0" w14:textId="77777777">
        <w:tc>
          <w:tcPr>
            <w:tcW w:w="650" w:type="dxa"/>
            <w:shd w:val="clear" w:color="auto" w:fill="E6EF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F4A5B6C7A1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4280F4"/>
                <w:sz w:val="16"/>
              </w:rPr>
              <w:t>L4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F4A5B6C7A2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giving-presentations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F4A5B6C7A3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Talk track preparation, slide deck narrative design, and presentation delivery coaching. Maps content to audience decision needs. Structures opening hook, logical flow, and close.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F4A5B6C7A4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Talk track outline, narrative arc, or slide-by-slide notes</w:t>
            </w:r>
          </w:p>
        </w:tc>
      </w:tr>
      <w:tr w:rsidR="00EE7BB4" w14:paraId="46AD4848" w14:textId="77777777">
        <w:tc>
          <w:tcPr>
            <w:tcW w:w="650" w:type="dxa"/>
            <w:shd w:val="clear" w:color="auto" w:fill="EAF3D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3BD177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375623"/>
                <w:sz w:val="16"/>
              </w:rPr>
              <w:t>L4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DF965F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diligence-ddr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98BA0B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DDR for PE buyout / M&amp;A sell-side, tailored by sector and business model.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25F178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Branded .docx due diligence request list</w:t>
            </w:r>
          </w:p>
        </w:tc>
      </w:tr>
      <w:tr w:rsidR="00EE7BB4" w14:paraId="A5B6C7D8A0" w14:textId="77777777">
        <w:tc>
          <w:tcPr>
            <w:tcW w:w="650" w:type="dxa"/>
            <w:shd w:val="clear" w:color="auto" w:fill="E6EF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A5B6C7D8A1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4280F4"/>
                <w:sz w:val="16"/>
              </w:rPr>
              <w:t>L4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A5B6C7D8A2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executive-briefing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A5B6C7D8A3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Executive-ready briefing documents: memos, one-pagers, board notes, C-suite briefings. Enforces BLUF structure and decision-oriented formatting. Output is action-forcing, not informational.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A5B6C7D8A4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Pattern-branded one-pager, board note, or executive memo (.docx)</w:t>
            </w:r>
          </w:p>
        </w:tc>
      </w:tr>
      <w:tr w:rsidR="00EE7BB4" w14:paraId="04EB9F93" w14:textId="77777777">
        <w:tc>
          <w:tcPr>
            <w:tcW w:w="650" w:type="dxa"/>
            <w:shd w:val="clear" w:color="auto" w:fill="EAF3D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BADB23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375623"/>
                <w:sz w:val="16"/>
              </w:rPr>
              <w:t>L4</w:t>
            </w:r>
          </w:p>
        </w:tc>
        <w:tc>
          <w:tcPr>
            <w:tcW w:w="17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756D30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financial-model-builder</w:t>
            </w:r>
          </w:p>
        </w:tc>
        <w:tc>
          <w:tcPr>
            <w:tcW w:w="650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EA8902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3-tab financial model from source P&amp;L.</w:t>
            </w:r>
          </w:p>
        </w:tc>
        <w:tc>
          <w:tcPr>
            <w:tcW w:w="5850" w:type="dxa"/>
            <w:shd w:val="clear" w:color="auto" w:fill="F8F8F8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96C40A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.xlsx: Input Page + FMT + Output Tab with go-forward case</w:t>
            </w:r>
          </w:p>
        </w:tc>
      </w:tr>
      <w:tr w:rsidR="00EE7BB4" w14:paraId="0B3B99E6" w14:textId="77777777">
        <w:tc>
          <w:tcPr>
            <w:tcW w:w="650" w:type="dxa"/>
            <w:shd w:val="clear" w:color="auto" w:fill="EAF3DE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557470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375623"/>
                <w:sz w:val="16"/>
              </w:rPr>
              <w:t>L4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60C2B5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doc-quality-checker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1A6150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Layer 4b QA gate. Auto-runs after every Layer 4 output. Draft artifact check at CRITICAL.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13FF73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QC report with severity-rated findings; zero CRITICAL to ship</w:t>
            </w:r>
          </w:p>
        </w:tc>
      </w:tr>
      <w:tr w:rsidR="00EE7BB4" w14:paraId="C63887F7" w14:textId="77777777">
        <w:tc>
          <w:tcPr>
            <w:tcW w:w="650" w:type="dxa"/>
            <w:shd w:val="clear" w:color="auto" w:fill="E6EF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B3B191D3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4280F4"/>
                <w:sz w:val="16"/>
              </w:rPr>
              <w:t>L2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DFA489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driver-tree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D44FC56A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Decomposes investment thesis into causal driver tree â€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FC7BC1F3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revenue cost capital and</w:t>
            </w:r>
          </w:p>
        </w:tc>
      </w:tr>
      <w:tr w:rsidR="00EE7BB4" w14:paraId="233BAA30" w14:textId="77777777">
        <w:tc>
          <w:tcPr>
            <w:tcW w:w="650" w:type="dxa"/>
            <w:shd w:val="clear" w:color="auto" w:fill="E6EF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BF34AEB1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4280F4"/>
                <w:sz w:val="16"/>
              </w:rPr>
              <w:t>L2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85B9BDA1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statistics-fundamentals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9422BFCE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Applied statistics for investment analysis â€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A8EAC220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regression</w:t>
            </w:r>
          </w:p>
        </w:tc>
      </w:tr>
      <w:tr w:rsidR="00EE7BB4" w14:paraId="C1D2E3F4A0" w14:textId="77777777">
        <w:tc>
          <w:tcPr>
            <w:tcW w:w="650" w:type="dxa"/>
            <w:shd w:val="clear" w:color="auto" w:fill="E6EF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C1D2E3F4A1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4280F4"/>
                <w:sz w:val="16"/>
              </w:rPr>
              <w:t>L2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C1D2E3F4A2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tam-sam-som-calculator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C1D2E3F4A3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Market sizing with both top-down and bottom-up approaches. Labels every assumption as fact/estimate/hypothesis. Requires both methods; reconciles divergences &gt;25%. Includes sensitivity analysis on key drivers.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C1D2E3F4A4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TAM/SAM/SOM table + bottoms-up build + sensitivity matrix (inline or as structured output)</w:t>
            </w:r>
          </w:p>
        </w:tc>
      </w:tr>
      <w:tr w:rsidR="00EE7BB4" w14:paraId="879503D8" w14:textId="77777777">
        <w:tc>
          <w:tcPr>
            <w:tcW w:w="650" w:type="dxa"/>
            <w:shd w:val="clear" w:color="auto" w:fill="E6EF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A718A876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4280F4"/>
                <w:sz w:val="16"/>
              </w:rPr>
              <w:t>L2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C82BA9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kpi-tree-builder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0E1108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Decomposes a budget, forecast, or operating target into causal drivers and atomic inputs with owners, cadences, and management actions. Two modes: diligence (audit management budget credibility) and post-close (define tracking architecture).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F8F7E544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KPI tree, driver dictionary, tracking pack (weekly/monthly/quarterly metrics)</w:t>
            </w:r>
          </w:p>
        </w:tc>
      </w:tr>
      <w:tr w:rsidR="00EE7BB4" w14:paraId="C7D8E9F0A0" w14:textId="77777777">
        <w:tc>
          <w:tcPr>
            <w:tcW w:w="650" w:type="dxa"/>
            <w:shd w:val="clear" w:color="auto" w:fill="E6EF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C7D8E9F0A1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4280F4"/>
                <w:sz w:val="16"/>
              </w:rPr>
              <w:t>L7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C7D8E9F0A2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vibe-coding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C7D8E9F0A3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AI-assisted rapid prototyping — building functional tools, scripts, and apps without deep technical skills. Optimized for speed-to-working-artifact. Produces code that runs, not code that is production-ready.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C7D8E9F0A4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Working script, app, or tool (Python, JS, HTML — whatever fits the task)</w:t>
            </w:r>
          </w:p>
        </w:tc>
      </w:tr>
      <w:tr w:rsidR="00EE7BB4" w14:paraId="B1C2D3E4" w14:textId="77777777">
        <w:tc>
          <w:tcPr>
            <w:tcW w:w="650" w:type="dxa"/>
            <w:shd w:val="clear" w:color="auto" w:fill="E6EF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B2C3D4E5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4280F4"/>
                <w:sz w:val="16"/>
              </w:rPr>
              <w:t>L2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B3C4D5E6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gtm-metrics-analyzer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B4C5D6E7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Builds a 4-tab GTM diagnostic workbook from uploaded source files. Calculates 48 metrics across 6 families: ARR funnel, pipeline, retention, efficiency &amp; economics, team &amp; productivity, fiscal maturity. Separates provided inputs from derived outputs. Requires Excel 365/2019+ (XLOOKUP).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B5C6D7E8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.xlsx workbook: Input_Fields + Metric_Calcs + Diagnostic_Output + README tabs</w:t>
            </w:r>
          </w:p>
        </w:tc>
      </w:tr>
      <w:tr w:rsidR="00EE7BB4" w14:paraId="B6C7D8E9A0" w14:textId="77777777">
        <w:tc>
          <w:tcPr>
            <w:tcW w:w="650" w:type="dxa"/>
            <w:shd w:val="clear" w:color="auto" w:fill="E6EF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B6C7D8E9A1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4280F4"/>
                <w:sz w:val="16"/>
              </w:rPr>
              <w:t>L2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B6C7D8E9A2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finance-metrics-quickref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B6C7D8E9A3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Quick-reference lookup for financial metric definitions, formulas, and benchmarks. Covers SaaS, PE, and general corporate finance. Returns definition, formula, and benchmark range with source.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B6C7D8E9A4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Inline definition + formula + benchmark (no separate document)</w:t>
            </w:r>
          </w:p>
        </w:tc>
      </w:tr>
      <w:tr w:rsidR="00EE7BB4" w14:paraId="D8E9F0A1A0" w14:textId="77777777">
        <w:tc>
          <w:tcPr>
            <w:tcW w:w="650" w:type="dxa"/>
            <w:shd w:val="clear" w:color="auto" w:fill="E6EF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D8E9F0A1A1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4280F4"/>
                <w:sz w:val="16"/>
              </w:rPr>
              <w:t>L8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D8E9F0A1A2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skill-authoring-workflow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D8E9F0A1A3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Standards and process for creating or updating a skill without breaking conventions. Covers SKILL.md structure, trigger language, integration rules, quality checks, and README/agents.md updates.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D8E9F0A1A4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SKILL.md file + README/agents.md entries ready to commit</w:t>
            </w:r>
          </w:p>
        </w:tc>
      </w:tr>
      <w:tr w:rsidR="00EE7BB4" w14:paraId="F0A1B2C3A0" w14:textId="77777777">
        <w:tc>
          <w:tcPr>
            <w:tcW w:w="650" w:type="dxa"/>
            <w:shd w:val="clear" w:color="auto" w:fill="E6EF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F0A1B2C3A1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4280F4"/>
                <w:sz w:val="16"/>
              </w:rPr>
              <w:t>L4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F0A1B2C3A2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competitive-landscape-deliverable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F0A1B2C3A3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Converts a competitive landscape spreadsheet (Pattern n8n pipeline output or manual) into a board-ready executive deliverable. Verdict-led layout, preserves Rating + McKinsey rationale, Pattern brand styling. Handles the full competitive-landscape-mapping template.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F0A1B2C3A4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Pattern-branded executive deliverable (.docx or structured summary)</w:t>
            </w:r>
          </w:p>
        </w:tc>
      </w:tr>
      <w:tr w:rsidR="00EE7BB4" w14:paraId="A1B2C3D4A0" w14:textId="77777777">
        <w:tc>
          <w:tcPr>
            <w:tcW w:w="650" w:type="dxa"/>
            <w:shd w:val="clear" w:color="auto" w:fill="E6EF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A1B2C3D4A1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4280F4"/>
                <w:sz w:val="16"/>
              </w:rPr>
              <w:t>Pipeline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A1B2C3D4A2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ic-memo-pipeline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A1B2C3D4A3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Full 10-section IC memo pipeline: intake → market research → NTB diligence → driver tree → section drafts → 5 iteration passes → Pattern DOCX → QA. Mode flags: NTB_MODE (full/skip), KPI_MODE (full/skip).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A1B2C3D4A4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Pattern-branded IC memo (.docx) — full investment committee deliverable</w:t>
            </w:r>
          </w:p>
        </w:tc>
      </w:tr>
      <w:tr w:rsidR="00EE7BB4" w14:paraId="B2C3D4E5A0" w14:textId="77777777">
        <w:tc>
          <w:tcPr>
            <w:tcW w:w="650" w:type="dxa"/>
            <w:shd w:val="clear" w:color="auto" w:fill="E6EFFD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B2C3D4E5A1" w14:textId="77777777" w:rsidR="00EE7BB4" w:rsidRDefault="008712F0">
            <w:pPr>
              <w:spacing w:after="0" w:line="240" w:lineRule="auto"/>
              <w:jc w:val="center"/>
            </w:pPr>
            <w:r>
              <w:rPr>
                <w:rFonts w:ascii="Wix Madefor Display SemiBold" w:hAnsi="Wix Madefor Display SemiBold"/>
                <w:b/>
                <w:color w:val="4280F4"/>
                <w:sz w:val="16"/>
              </w:rPr>
              <w:t>Pipeline</w:t>
            </w:r>
          </w:p>
        </w:tc>
        <w:tc>
          <w:tcPr>
            <w:tcW w:w="17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B2C3D4E5A2" w14:textId="77777777" w:rsidR="00EE7BB4" w:rsidRDefault="008712F0">
            <w:pPr>
              <w:spacing w:after="0" w:line="240" w:lineRule="auto"/>
            </w:pPr>
            <w:r>
              <w:rPr>
                <w:rFonts w:ascii="Wix Madefor Display SemiBold" w:hAnsi="Wix Madefor Display SemiBold"/>
                <w:b/>
                <w:color w:val="0F4761"/>
                <w:sz w:val="17"/>
              </w:rPr>
              <w:t>market-research-pipeline</w:t>
            </w:r>
          </w:p>
        </w:tc>
        <w:tc>
          <w:tcPr>
            <w:tcW w:w="6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B2C3D4E5A3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color w:val="000000"/>
                <w:sz w:val="16"/>
              </w:rPr>
              <w:t>Standalone market research report pipeline: brief → L4→L3→L2 research pyramid → theme synthesis → iterative draft passes → Pattern DOCX. Integrates mckinsey-consultant, market-research, writing-style, claim-scrutinizer.</w:t>
            </w:r>
          </w:p>
        </w:tc>
        <w:tc>
          <w:tcPr>
            <w:tcW w:w="585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B2C3D4E5A4" w14:textId="77777777" w:rsidR="00EE7BB4" w:rsidRDefault="008712F0">
            <w:pPr>
              <w:spacing w:after="0" w:line="252" w:lineRule="auto"/>
            </w:pPr>
            <w:r>
              <w:rPr>
                <w:rFonts w:ascii="Wix Madefor Display" w:hAnsi="Wix Madefor Display"/>
                <w:i/>
                <w:color w:val="000000"/>
                <w:sz w:val="16"/>
              </w:rPr>
              <w:t>Pattern-branded market research report (.docx)</w:t>
            </w:r>
          </w:p>
        </w:tc>
      </w:tr>
    </w:tbl>
    <w:p w14:paraId="088BCC19" w14:textId="77777777" w:rsidR="00EE7BB4" w:rsidRDefault="008712F0">
      <w:pPr>
        <w:spacing w:before="60" w:after="0" w:line="240" w:lineRule="auto"/>
      </w:pPr>
      <w:r>
        <w:rPr>
          <w:rFonts w:ascii="Wix Madefor Display" w:hAnsi="Wix Madefor Display"/>
          <w:i/>
          <w:color w:val="666666"/>
          <w:sz w:val="14"/>
        </w:rPr>
        <w:t>L1 Analytical OS  ·  L2 Research &amp; Analysis  ·  L3 Quality &amp; Adversarial  ·  L4 Document Production (doc-quality-checker = L4b QA gate auto-runs after every L4 output)</w:t>
      </w:r>
    </w:p>
    <w:sectPr w:rsidR="00EE7BB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340" w:right="340" w:bottom="340" w:left="3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72847" w14:textId="77777777" w:rsidR="008712F0" w:rsidRDefault="008712F0" w:rsidP="00EE752F">
      <w:pPr>
        <w:spacing w:after="0" w:line="240" w:lineRule="auto"/>
      </w:pPr>
      <w:r>
        <w:separator/>
      </w:r>
    </w:p>
  </w:endnote>
  <w:endnote w:type="continuationSeparator" w:id="0">
    <w:p w14:paraId="7CB59263" w14:textId="77777777" w:rsidR="008712F0" w:rsidRDefault="008712F0" w:rsidP="00EE7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x Madefor Display SemiBold">
    <w:panose1 w:val="020B0503020203020203"/>
    <w:charset w:val="00"/>
    <w:family w:val="swiss"/>
    <w:pitch w:val="variable"/>
    <w:sig w:usb0="A000026F" w:usb1="0000A06B" w:usb2="00000008" w:usb3="00000000" w:csb0="00000197" w:csb1="00000000"/>
  </w:font>
  <w:font w:name="Wix Madefor Display">
    <w:panose1 w:val="020B0503020203020203"/>
    <w:charset w:val="00"/>
    <w:family w:val="swiss"/>
    <w:pitch w:val="variable"/>
    <w:sig w:usb0="A000026F" w:usb1="0000A06B" w:usb2="00000008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51CD1" w14:textId="77777777" w:rsidR="00EE752F" w:rsidRDefault="00EE75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0FFE7" w14:textId="77777777" w:rsidR="00EE752F" w:rsidRDefault="00EE75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B7D99" w14:textId="77777777" w:rsidR="00EE752F" w:rsidRDefault="00EE75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C9E65" w14:textId="77777777" w:rsidR="008712F0" w:rsidRDefault="008712F0" w:rsidP="00EE752F">
      <w:pPr>
        <w:spacing w:after="0" w:line="240" w:lineRule="auto"/>
      </w:pPr>
      <w:r>
        <w:separator/>
      </w:r>
    </w:p>
  </w:footnote>
  <w:footnote w:type="continuationSeparator" w:id="0">
    <w:p w14:paraId="5884E2DC" w14:textId="77777777" w:rsidR="008712F0" w:rsidRDefault="008712F0" w:rsidP="00EE75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4F6A3" w14:textId="77777777" w:rsidR="00EE752F" w:rsidRDefault="00EE75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D2249" w14:textId="77777777" w:rsidR="00EE752F" w:rsidRDefault="00EE75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5B3B2" w14:textId="77777777" w:rsidR="00EE752F" w:rsidRDefault="00EE75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0895524">
    <w:abstractNumId w:val="8"/>
  </w:num>
  <w:num w:numId="2" w16cid:durableId="1547571909">
    <w:abstractNumId w:val="6"/>
  </w:num>
  <w:num w:numId="3" w16cid:durableId="530265002">
    <w:abstractNumId w:val="5"/>
  </w:num>
  <w:num w:numId="4" w16cid:durableId="307442935">
    <w:abstractNumId w:val="4"/>
  </w:num>
  <w:num w:numId="5" w16cid:durableId="1216311652">
    <w:abstractNumId w:val="7"/>
  </w:num>
  <w:num w:numId="6" w16cid:durableId="1944147052">
    <w:abstractNumId w:val="3"/>
  </w:num>
  <w:num w:numId="7" w16cid:durableId="74666275">
    <w:abstractNumId w:val="2"/>
  </w:num>
  <w:num w:numId="8" w16cid:durableId="1357266677">
    <w:abstractNumId w:val="1"/>
  </w:num>
  <w:num w:numId="9" w16cid:durableId="1575700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03B4"/>
    <w:rsid w:val="00326F90"/>
    <w:rsid w:val="008712F0"/>
    <w:rsid w:val="00AA1D8D"/>
    <w:rsid w:val="00B47730"/>
    <w:rsid w:val="00CB0664"/>
    <w:rsid w:val="00EE752F"/>
    <w:rsid w:val="00EE7B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D49D08"/>
  <w14:defaultImageDpi w14:val="300"/>
  <w15:docId w15:val="{8199889E-0F0A-4F43-9FFC-83C26953E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Ian Lawrence</cp:lastModifiedBy>
  <cp:revision>2</cp:revision>
  <dcterms:created xsi:type="dcterms:W3CDTF">2026-04-21T23:06:00Z</dcterms:created>
  <dcterms:modified xsi:type="dcterms:W3CDTF">2026-04-21T23:06:00Z</dcterms:modified>
  <cp:category/>
</cp:coreProperties>
</file>