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Wix Madefor Display SemiBold" w:cs="Wix Madefor Display SemiBold" w:eastAsia="Wix Madefor Display SemiBold" w:hAnsi="Wix Madefor Display SemiBold"/>
          <w:color w:val="0F4761"/>
          <w:sz w:val="52"/>
          <w:szCs w:val="52"/>
        </w:rPr>
        <w:t xml:space="preserve">Claude Skills Library</w:t>
      </w:r>
    </w:p>
    <w:p>
      <w:pPr>
        <w:spacing w:after="40" w:before="0"/>
      </w:pPr>
      <w:r>
        <w:rPr>
          <w:rFonts w:ascii="Wix Madefor Display" w:cs="Wix Madefor Display" w:eastAsia="Wix Madefor Display" w:hAnsi="Wix Madefor Display"/>
          <w:color w:val="444444"/>
          <w:sz w:val="26"/>
          <w:szCs w:val="26"/>
        </w:rPr>
        <w:t xml:space="preserve">Full Reference — Skill Architecture · Layers · Triggers · Invocation Priority</w:t>
      </w:r>
    </w:p>
    <w:p>
      <w:pPr>
        <w:spacing w:after="200" w:before="0"/>
      </w:pPr>
      <w:r>
        <w:rPr>
          <w:rFonts w:ascii="Wix Madefor Display" w:cs="Wix Madefor Display" w:eastAsia="Wix Madefor Display" w:hAnsi="Wix Madefor Display"/>
          <w:i/>
          <w:iCs/>
          <w:color w:val="666666"/>
          <w:sz w:val="18"/>
          <w:szCs w:val="18"/>
        </w:rPr>
        <w:t xml:space="preserve">Pattern  |  April 2026  |  Internal Reference</w:t>
      </w:r>
    </w:p>
    <w:p>
      <w:pPr>
        <w:spacing w:after="120" w:before="0"/>
      </w:pPr>
      <w:r>
        <w:rPr>
          <w:rFonts w:ascii="Wix Madefor Display SemiBold" w:cs="Wix Madefor Display SemiBold" w:eastAsia="Wix Madefor Display SemiBold" w:hAnsi="Wix Madefor Display SemiBold"/>
          <w:color w:val="000000"/>
          <w:sz w:val="18"/>
          <w:szCs w:val="18"/>
        </w:rPr>
        <w:t xml:space="preserve">30 skills across 8 groups and 4 functional layers. Every formal output runs through at least two layers — usually three or four. Layers are not optional — skipping a layer produces a draft, not a deliverable.</w:t>
      </w:r>
    </w:p>
    <w:p>
      <w:pPr>
        <w:pageBreakBefore/>
        <w:pBdr>
          <w:bottom w:val="single" w:color="BBBBBB" w:sz="4" w:space="2"/>
        </w:pBdr>
        <w:spacing w:after="100" w:before="160"/>
      </w:pPr>
      <w:r>
        <w:rPr>
          <w:rFonts w:ascii="Wix Madefor Display SemiBold" w:cs="Wix Madefor Display SemiBold" w:eastAsia="Wix Madefor Display SemiBold" w:hAnsi="Wix Madefor Display SemiBold"/>
          <w:color w:val="4280F4"/>
          <w:spacing w:val="40"/>
          <w:sz w:val="22"/>
          <w:szCs w:val="22"/>
        </w:rPr>
        <w:t xml:space="preserve">1. How the Skills Fit Together</w:t>
      </w:r>
    </w:p>
    <w:p>
      <w:pPr>
        <w:spacing w:after="120" w:before="0"/>
      </w:pPr>
      <w:r>
        <w:rPr>
          <w:rFonts w:ascii="Wix Madefor Display SemiBold" w:cs="Wix Madefor Display SemiBold" w:eastAsia="Wix Madefor Display SemiBold" w:hAnsi="Wix Madefor Display SemiBold"/>
          <w:color w:val="000000"/>
          <w:sz w:val="18"/>
          <w:szCs w:val="18"/>
        </w:rPr>
        <w:t xml:space="preserve">The skill library has four functional layers. The mandatory sequence for any formal output: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Analytical OS → frames the problem, governs methodology, structures NTB registry (investment work)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Research/Analysis → gathers evidence, builds NTB-ready findings, confirms Gate 2 scorecard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writing-style → runs on all prose before any document code is written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claim-scrutinizer → redlines every material claim, checks IC memo structure (investment work)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red-team → adversarial pass on load-bearing pillars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pre-mortem → failure mode inventory with NTB mapping (IC/investment work)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Document production → generates the file using canonical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doc-quality-checker → auto-runs after file delivery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Critical: Never trigger a document production skill without running the quality layer first. A file produced without writing-style and claim-scrutinizer will fail the doc-quality-checker pass.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200"/>
        <w:gridCol w:w="240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Skills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What It Owns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When It Runs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1 — Analytical OS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mckinsey-consultant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Problem structuring, MECE trees, frameworks, claim labeling (F/E/H), Six Screening Questions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Always active for strategy or investment work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2 — Research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market-research, ntb-diligence, ic-memo, competitive-moat-assessment, executive-summary-writer, driver-tree, tam-sam-som-calculator, statistics-fundamentals, finance-metrics-quickref, saas-revenue-growth-metrics, saas-economics-efficiency-metrics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Evidence gathering, research workflow, deliverable architecture, metrics analysis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When research or a specific deliverable type is needed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3 — Quality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writing-style ⚙️, claim-scrutinizer, red-team, pre-mortem, boundability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Prose standards, claim testing, adversarial stress-testing, failure mode enumeration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During drafting (writing-style) and after draft (all others)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4 — Production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pattern-docx, pattern-investment-pptx, pattern-pptx, diligence-ddr, financial-model-builder, executive-briefing, written-communication, giving-presentations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Branded file output in correct format with header/footer/logo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Final step — after analytical and quality layers complete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4b — QA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doc-quality-checker ⚙️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Brand compliance, formatting, internal consistency, draft artifact language check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Auto-runs after every Layer 4 file output</w:t>
            </w:r>
          </w:p>
        </w:tc>
      </w:tr>
    </w:tbl>
    <w:p>
      <w:pPr>
        <w:pageBreakBefore/>
        <w:pBdr>
          <w:bottom w:val="single" w:color="BBBBBB" w:sz="4" w:space="2"/>
        </w:pBdr>
        <w:spacing w:after="100" w:before="160"/>
      </w:pPr>
      <w:r>
        <w:rPr>
          <w:rFonts w:ascii="Wix Madefor Display SemiBold" w:cs="Wix Madefor Display SemiBold" w:eastAsia="Wix Madefor Display SemiBold" w:hAnsi="Wix Madefor Display SemiBold"/>
          <w:color w:val="4280F4"/>
          <w:spacing w:val="40"/>
          <w:sz w:val="22"/>
          <w:szCs w:val="22"/>
        </w:rPr>
        <w:t xml:space="preserve">2. Auto-Running Skills</w:t>
      </w:r>
    </w:p>
    <w:p>
      <w:pPr>
        <w:spacing w:after="120" w:before="0"/>
      </w:pPr>
      <w:r>
        <w:rPr>
          <w:rFonts w:ascii="Wix Madefor Display SemiBold" w:cs="Wix Madefor Display SemiBold" w:eastAsia="Wix Madefor Display SemiBold" w:hAnsi="Wix Madefor Display SemiBold"/>
          <w:color w:val="000000"/>
          <w:sz w:val="18"/>
          <w:szCs w:val="18"/>
        </w:rPr>
        <w:t xml:space="preserve">These skills execute on every relevant output without being explicitly invoked:</w:t>
      </w:r>
    </w:p>
    <w:p>
      <w:pPr>
        <w:spacing w:after="8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8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Auto-Runs When...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writing-style</w:t>
            </w:r>
          </w:p>
        </w:tc>
        <w:tc>
          <w:tcPr>
            <w:tcW w:type="dxa" w:w="8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Any final or near-final formal output — memos, reports, investment theses, PPTX narrative text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doc-quality-checker</w:t>
            </w:r>
          </w:p>
        </w:tc>
        <w:tc>
          <w:tcPr>
            <w:tcW w:type="dxa" w:w="8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After any pattern-docx or pattern-investment-pptx file is produced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All other skills are invoked by name when the task matches their trigger criteria.</w:t>
      </w:r>
    </w:p>
    <w:p>
      <w:pPr>
        <w:pageBreakBefore/>
        <w:pBdr>
          <w:bottom w:val="single" w:color="BBBBBB" w:sz="4" w:space="2"/>
        </w:pBdr>
        <w:spacing w:after="100" w:before="160"/>
      </w:pPr>
      <w:r>
        <w:rPr>
          <w:rFonts w:ascii="Wix Madefor Display SemiBold" w:cs="Wix Madefor Display SemiBold" w:eastAsia="Wix Madefor Display SemiBold" w:hAnsi="Wix Madefor Display SemiBold"/>
          <w:color w:val="4280F4"/>
          <w:spacing w:val="40"/>
          <w:sz w:val="22"/>
          <w:szCs w:val="22"/>
        </w:rPr>
        <w:t xml:space="preserve">3. Complete Skill Index</w:t>
      </w:r>
    </w:p>
    <w:p>
      <w:pPr>
        <w:spacing w:after="100" w:before="0"/>
      </w:pPr>
      <w:r>
        <w:rPr>
          <w:rFonts w:ascii="Wix Madefor Display SemiBold" w:cs="Wix Madefor Display SemiBold" w:eastAsia="Wix Madefor Display SemiBold" w:hAnsi="Wix Madefor Display SemiBold"/>
          <w:color w:val="000000"/>
          <w:sz w:val="18"/>
          <w:szCs w:val="18"/>
        </w:rPr>
        <w:t xml:space="preserve">All 30 skills, organized by group. Invoke the most specific skill first; fall back to broader skills if needed.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800"/>
        <w:gridCol w:w="240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Triggers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mckinsey-consultant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L1 — Analytical OS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Problem structuring, MECE trees, 7 strategy dimensions, Pyramid Principle, Six Screening Questions, analytical OS for all strategy/investment work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Issue trees, MECE frameworks, structured diagnosis, storyline design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market-research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Full research workflow: intake → brief → pyramid (L4→L1) → deep dives → draft → iteration loop. Integrates mckinsey-consultant, writing-style, claim-scrutinizer, competitive-moat-assessment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"conduct market research", "competitive landscape", "full analysis", "size a market"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competitive-moat-assessment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5-step moat evidence methodology: classify → existence test → strength rating → durability → verdict. Mandatory at L2b in all market research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"assess the moat", "how defensible is X", "moat depth", "durability of advantage"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pre-mortem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L3 — Quality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Assumes deal/project failed and works backward to enumerate every failure pathway. Maps failure modes to NTBs. Distinct from claim-scrutinizer — assumes the bull case is wrong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"pre-mortem this", "how does this fail", "war game", "stress test downside"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red-team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L3 — Quality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Adversarial review — constructs the strongest opposing case with evidence. 6-gate attack lenses. Produces a structured rebuttal, not a general critique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"red team this", "make the bear case", "argue against this", "steelman the opposition"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claim-scrutinizer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L3 — Quality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Seven-part claim test, assumption audit, derivative integrity. For investment docs: Six Screening Questions as lens + IC memo structure check (NTB registry, Gate 2 scorecard)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"scrutinize", "redline", "pressure-test", "poke holes in this", "is this IC-ready"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boundability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L3 — Quality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Tests geographic, segment, and product boundaries of a competitive advantage — where it holds vs. degrades. 6-module scoring, 5 disqualification gates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"where does the moat hold", "test the limits of this advantage", "boundary conditions"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tam-sam-som-calculator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Market sizing — TAM/SAM/SOM with bottoms-up and tops-down approaches, labeled assumptions (fact/estimate/hypothesis), and sensitivity analysis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"size the market", "TAM/SAM/SOM", "how big is this market", "market sizing"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statistics-fundamentals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Applied statistics for investment and business analysis: regression interpretation, confidence intervals, A/B test validity, correlation vs. causation, common statistical errors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"is this statistically significant", "interpret this regression", "confidence interval"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driver-tree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Decomposes investment thesis into causal driver tree — revenue, cost, capital, and competitive dynamics. Maps drivers to NTBs and MOIC outcomes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"build a driver tree", "decompose this thesis", "what drives MOIC here"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financial-model-builder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L4 —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Builds canonical 3-tab operating model (Input Page, Financial Model Template, Output Tab) from source P&amp;L/BS. 6+6 analysis (actuals + forecast). FOUNDATIONAL — read first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"build financial model", "3-tab model", "6+6 analysis", "turn this P&amp;L into a model"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ic-memo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IC memo architecture: 10-section structure, three-gate structure (company quality → sector timing → investment attractiveness), kill criteria, scenario analysis, Pattern-branded DOCX output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"IC memo", "investment committee memo", "write up this deal", "deal memo"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ntb-diligence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Standalone 4-phase NTB diligence, 2 checkpoints, MOIC sum tolerance ±15%. Evaluates whether growth is driven by genuine new customers vs. base recycling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"NTB diligence", "new-to-brand analysis", "customer acquisition quality", "cohort analysis"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diligence-ddr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L4 —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Generates or customizes Due Diligence Request Lists for PE buyout / M&amp;A sell-side. Tailored by sector and business model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"DDR", "due diligence request list", "data room requests", "diligence checklist"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finance-metrics-quickref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Quick-reference lookup for financial metric definitions, formulas, and benchmarks. Covers SaaS, PE, and general corporate finance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"what's the formula for", "define [metric]", "what's a good benchmark for", "how do I calculate"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saas-revenue-growth-metrics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Revenue, retention, NRR/GRR, ARR growth, churn, expansion, and logo retention. Metric definitions, calculation methodology, and benchmark ranges by stage and sector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NRR, GRR, ARR, churn, expansion revenue, retention analysis, revenue quality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saas-economics-efficiency-metrics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CAC, LTV, payback period, Rule of 40, burn multiple, and capital efficiency ratios. Benchmarking against SaaS peers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CAC/LTV analysis, payback period, Rule of 40, efficiency metrics, burn analysis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Leadership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executive-briefing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L4 —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Executive-ready briefing documents: memos, one-pagers, board notes, C-suite briefings. Enforces BLUF structure and decision-oriented formatting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"memo", "board note", "one-pager", "C-suite briefing", "executive summary"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Leadership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executive-summary-writer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L2 — Research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Compresses completed analysis into publication-ready executive summary. Four format variants: one-page memo, deck slide, briefing paragraph, multi-section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"write an executive summary", "summarize for leadership", "condense this"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Leadership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managing-up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Interpersonal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Frameworks for executive relationship management, influencing leadership without authority, and navigating organizational dynamics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"how do I handle this with my boss", "managing up", "influencing leadership", "navigating org politics"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Leadership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having-difficult-conversations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Interpersonal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Framework for high-stakes conversations: hard feedback, performance discussions, co-ownership framing, escalations. Produces talk tracks, not just advice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"how do I say this to them", "hard conversation", "feedback delivery", "performance conversation"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pattern-docx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L4 —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Pattern-branded Word documents. Two-phase build: docx-js body + Python XML patch for header/footer/logo. Brand: Wix Madefor Display, sections #4280F4, subheaders #3A00FD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Any Pattern memo, report, analysis, IC memo, market research output as Word doc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pattern-investment-pptx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L4 —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Institutional-grade investment decks: IC, PE, acquirer materials. Brand: Wix Madefor Display, 10×5.625", primary blue #4285F4, navy #002060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Investment deck, investor presentation, due diligence deck, M&amp;A deck, board deck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pattern-pptx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L4 —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General Pattern-branded presentations for internal, operational, partner content — not investment materials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Internal strategy deck, ops review, partner presentation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written-communication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L4 —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Emails, memos, strategy documents, and announcements. Covers tone calibration, audience framing, structure, and edit passes for clarity and concision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"write an email", "draft a memo", "help me communicate this", "write an announcement"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giving-presentations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L4 — Production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Talk track prep, slide deck narrative design, and presentation delivery coaching. Covers structuring compelling narrative, anticipating audience questions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"help me prep for this presentation", "talk track", "what's the narrative for this deck"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Quality (Auto)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writing-style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L3 — Quality ⚙️ Auto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5-step prose self-review. Runs on ALL formal outputs before document production. Enforces claim tagging, absolute assertion test, inductive chain check, data gap flagging, prose standards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Auto-runs on all formal outputs — do not invoke manually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Quality (Auto)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doc-quality-checker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L4b — QA ⚙️ Auto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Brand compliance QA gate. Auto-runs after every pattern-docx or pattern-investment-pptx output. Checks formatting, structural logic, table integrity, narrative flow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Auto-runs after Layer 4 production output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AI &amp; Tech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vibe-coding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L7 — AI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AI-assisted rapid prototyping — building functional tools, scripts, and apps without deep technical skills. Optimized for speed-to-working-artifact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"build this quickly", "prototype", "just make it work", "vibe code this"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 SemiBold" w:cs="Wix Madefor Display SemiBold" w:eastAsia="Wix Madefor Display SemiBold" w:hAnsi="Wix Madefor Display SemiBold"/>
                <w:color w:val="0F4761"/>
                <w:sz w:val="18"/>
                <w:szCs w:val="18"/>
              </w:rPr>
              <w:t xml:space="preserve">skill-authoring-workflow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L8 — Meta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Standards and process for creating or updating a skill without breaking conventions. Covers SKILL.md structure, trigger language, integration rules, quality checks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"create a new skill", "update this skill", "how should I structure this skill"</w:t>
            </w:r>
          </w:p>
        </w:tc>
      </w:tr>
    </w:tbl>
    <w:p>
      <w:pPr>
        <w:pageBreakBefore/>
        <w:pBdr>
          <w:bottom w:val="single" w:color="BBBBBB" w:sz="4" w:space="2"/>
        </w:pBdr>
        <w:spacing w:after="100" w:before="160"/>
      </w:pPr>
      <w:r>
        <w:rPr>
          <w:rFonts w:ascii="Wix Madefor Display SemiBold" w:cs="Wix Madefor Display SemiBold" w:eastAsia="Wix Madefor Display SemiBold" w:hAnsi="Wix Madefor Display SemiBold"/>
          <w:color w:val="4280F4"/>
          <w:spacing w:val="40"/>
          <w:sz w:val="22"/>
          <w:szCs w:val="22"/>
        </w:rPr>
        <w:t xml:space="preserve">4. Skill Invocation Priority</w:t>
      </w:r>
    </w:p>
    <w:p>
      <w:pPr>
        <w:spacing w:after="120" w:before="0"/>
      </w:pPr>
      <w:r>
        <w:rPr>
          <w:rFonts w:ascii="Wix Madefor Display SemiBold" w:cs="Wix Madefor Display SemiBold" w:eastAsia="Wix Madefor Display SemiBold" w:hAnsi="Wix Madefor Display SemiBold"/>
          <w:color w:val="000000"/>
          <w:sz w:val="18"/>
          <w:szCs w:val="18"/>
        </w:rPr>
        <w:t xml:space="preserve">When multiple skills could apply, use this tie-breaking order:</w:t>
      </w:r>
    </w:p>
    <w:p>
      <w:pPr>
        <w:spacing w:after="80" w:before="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780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How to Apply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Most specific first</w:t>
            </w:r>
          </w:p>
        </w:tc>
        <w:tc>
          <w:tcPr>
            <w:tcW w:type="dxa" w:w="7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Prefer a narrow skill (e.g., saas-revenue-growth-metrics) over a broad one (e.g., mckinsey-consultant) when the narrow one directly addresses the task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Pattern-branded first</w:t>
            </w:r>
          </w:p>
        </w:tc>
        <w:tc>
          <w:tcPr>
            <w:tcW w:type="dxa" w:w="7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For any output file, prefer pattern-investment-pptx or pattern-pptx over generic pptx; pattern-docx over generic Word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Consulting OS default</w:t>
            </w:r>
          </w:p>
        </w:tc>
        <w:tc>
          <w:tcPr>
            <w:tcW w:type="dxa" w:w="7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If no skill fits, apply the Default Mode 8-step framework from agents.md directly</w:t>
            </w:r>
          </w:p>
        </w:tc>
      </w:tr>
    </w:tbl>
    <w:p>
      <w:pPr>
        <w:pageBreakBefore/>
        <w:pBdr>
          <w:bottom w:val="single" w:color="BBBBBB" w:sz="4" w:space="2"/>
        </w:pBdr>
        <w:spacing w:after="100" w:before="160"/>
      </w:pPr>
      <w:r>
        <w:rPr>
          <w:rFonts w:ascii="Wix Madefor Display SemiBold" w:cs="Wix Madefor Display SemiBold" w:eastAsia="Wix Madefor Display SemiBold" w:hAnsi="Wix Madefor Display SemiBold"/>
          <w:color w:val="4280F4"/>
          <w:spacing w:val="40"/>
          <w:sz w:val="22"/>
          <w:szCs w:val="22"/>
        </w:rPr>
        <w:t xml:space="preserve">5. Adding a New Skill</w:t>
      </w:r>
    </w:p>
    <w:p>
      <w:pPr>
        <w:spacing w:after="120" w:before="0"/>
      </w:pPr>
      <w:r>
        <w:rPr>
          <w:rFonts w:ascii="Wix Madefor Display SemiBold" w:cs="Wix Madefor Display SemiBold" w:eastAsia="Wix Madefor Display SemiBold" w:hAnsi="Wix Madefor Display SemiBold"/>
          <w:color w:val="000000"/>
          <w:sz w:val="18"/>
          <w:szCs w:val="18"/>
        </w:rPr>
        <w:t xml:space="preserve">Follow this checklist to add a new skill without breaking conventions: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Create a folder: [skill-name]/ (kebab-case)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Write SKILL.md — follow skill-authoring-workflow for structure and standards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Add the skill to agents.md Skill Directory under the appropriate group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Add an entry to README.md in alphabetical order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Commit and push — this README is the source of truth for what is deployed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Wix Madefor Display" w:cs="Wix Madefor Display" w:eastAsia="Wix Madefor Display" w:hAnsi="Wix Madefor Display"/>
          <w:color w:val="000000"/>
          <w:sz w:val="18"/>
          <w:szCs w:val="18"/>
        </w:rPr>
        <w:t xml:space="preserve">Invoke skill-authoring-workflow before writing any SKILL.md. It enforces trigger language, integration rules with adjacent skills, and quality gates.</w:t>
      </w:r>
    </w:p>
    <w:p>
      <w:pPr>
        <w:pageBreakBefore/>
        <w:pBdr>
          <w:bottom w:val="single" w:color="BBBBBB" w:sz="4" w:space="2"/>
        </w:pBdr>
        <w:spacing w:after="100" w:before="160"/>
      </w:pPr>
      <w:r>
        <w:rPr>
          <w:rFonts w:ascii="Wix Madefor Display SemiBold" w:cs="Wix Madefor Display SemiBold" w:eastAsia="Wix Madefor Display SemiBold" w:hAnsi="Wix Madefor Display SemiBold"/>
          <w:color w:val="4280F4"/>
          <w:spacing w:val="40"/>
          <w:sz w:val="22"/>
          <w:szCs w:val="22"/>
        </w:rPr>
        <w:t xml:space="preserve">6. Related Files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8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F4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ix Madefor Display SemiBold" w:cs="Wix Madefor Display SemiBold" w:eastAsia="Wix Madefor Display SemiBold" w:hAnsi="Wix Madefor Display SemiBold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agents.md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Repo root / OneDrive sync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Always-on operating layer — default mode, work-mode templates, full skill directory, file output rules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README.md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Repo root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Source of truth for deployed skills — skill index, invocation guide, architecture overview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Claude_Skills_CheatSheet.docx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OneDrive / Ian Productivity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Quick-reference card: 23 skills · 4 layers · what each does and its output format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Claude_Skill_Library_External (Finance).docx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OneDrive / Ian Productivity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Deep reference for PE/investment workflow: skill architecture, inventory, IC memo sequential prompts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MBB_METHODOLOGY.md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mckinsey-consultant/references/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Full MBB 7-step methodology reference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VALIDATION_FRAMEWORKS.md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mckinsey-consultant/references/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Wix Madefor Display" w:cs="Wix Madefor Display" w:eastAsia="Wix Madefor Display" w:hAnsi="Wix Madefor Display"/>
                <w:color w:val="000000"/>
                <w:sz w:val="18"/>
                <w:szCs w:val="18"/>
              </w:rPr>
              <w:t xml:space="preserve">Source validation, CRAAP scoring, triangulation standards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  <w:headerReference w:type="default" r:id="rId8"/>
      <w:footerReference w:type="default" r:id="rId9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xmlns:w14="http://schemas.microsoft.com/office/word/2010/wordml" xmlns:wp14="http://schemas.microsoft.com/office/word/2010/wordprocessingDrawing" mc:Ignorable="w14 wp14">
  <w:p>
    <w:pPr>
      <w:pBdr>
        <w:top w:val="single" w:sz="4" w:space="1" w:color="D9D9D9"/>
      </w:pBdr>
      <w:tabs>
        <w:tab w:val="right" w:pos="10800"/>
      </w:tabs>
    </w:pPr>
    <w:r>
      <w:rPr>
        <w:noProof/>
      </w:rPr>
      <w:drawing>
        <wp:inline distT="0" distB="0" distL="0" distR="0">
          <wp:extent cx="244475" cy="189865"/>
          <wp:effectExtent l="0" t="0" r="3175" b="635"/>
          <wp:docPr id="1" name="Pattern 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ttern Icon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4475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Wix Madefor Display SemiBold" w:hAnsi="Wix Madefor Display SemiBold" w:cs="Wix Madefor Display SemiBold"/>
        <w:sz w:val="16"/>
        <w:szCs w:val="16"/>
      </w:rPr>
      <w:tab/>
    </w:r>
    <w:r>
      <w:rPr>
        <w:rFonts w:ascii="Wix Madefor Display SemiBold" w:hAnsi="Wix Madefor Display SemiBold" w:cs="Wix Madefor Display SemiBold"/>
        <w:sz w:val="16"/>
        <w:szCs w:val="16"/>
      </w:rPr>
      <w:fldChar w:fldCharType="begin"/>
    </w:r>
    <w:r>
      <w:rPr>
        <w:rFonts w:ascii="Wix Madefor Display SemiBold" w:hAnsi="Wix Madefor Display SemiBold" w:cs="Wix Madefor Display SemiBold"/>
        <w:sz w:val="16"/>
        <w:szCs w:val="16"/>
      </w:rPr>
      <w:instrText xml:space="preserve"> PAGE  \* MERGEFORMAT </w:instrText>
    </w:r>
    <w:r>
      <w:rPr>
        <w:rFonts w:ascii="Wix Madefor Display SemiBold" w:hAnsi="Wix Madefor Display SemiBold" w:cs="Wix Madefor Display SemiBold"/>
        <w:sz w:val="16"/>
        <w:szCs w:val="16"/>
      </w:rPr>
      <w:fldChar w:fldCharType="separate"/>
    </w:r>
    <w:r>
      <w:rPr>
        <w:rFonts w:ascii="Wix Madefor Display SemiBold" w:hAnsi="Wix Madefor Display SemiBold" w:cs="Wix Madefor Display SemiBold"/>
        <w:noProof/>
        <w:sz w:val="16"/>
        <w:szCs w:val="16"/>
      </w:rPr>
      <w:t>1</w:t>
    </w:r>
    <w:r>
      <w:rPr>
        <w:rFonts w:ascii="Wix Madefor Display SemiBold" w:hAnsi="Wix Madefor Display SemiBold" w:cs="Wix Madefor Display SemiBold"/>
        <w:sz w:val="16"/>
        <w:szCs w:val="16"/>
      </w:rPr>
      <w:fldChar w:fldCharType="end"/>
    </w:r>
    <w:r>
      <w:rPr>
        <w:rFonts w:ascii="Wix Madefor Display SemiBold" w:hAnsi="Wix Madefor Display SemiBold" w:cs="Wix Madefor Display SemiBold"/>
        <w:sz w:val="16"/>
        <w:szCs w:val="16"/>
      </w:rPr>
      <w:t xml:space="preserve"> | </w:t>
    </w:r>
    <w:r>
      <w:rPr>
        <w:rFonts w:ascii="Wix Madefor Display SemiBold" w:hAnsi="Wix Madefor Display SemiBold" w:cs="Wix Madefor Display SemiBold"/>
        <w:color w:val="7F7F7F"/>
        <w:spacing w:val="60"/>
        <w:sz w:val="16"/>
        <w:szCs w:val="16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s="http://schemas.microsoft.com/office/word/2010/wordprocessingShape" mc:Ignorable="w14 w15 wp14">
  <w:p>
    <w:pPr>
      <w:rPr>
        <w:rFonts w:ascii="Wix Madefor Display SemiBold" w:hAnsi="Wix Madefor Display SemiBold" w:cs="Wix Madefor Display SemiBold"/>
        <w:sz w:val="22"/>
        <w:szCs w:val="22"/>
      </w:rPr>
    </w:pPr>
    <w:r>
      <w:rPr>
        <w:noProof/>
        <w:rFonts w:ascii="Wix Madefor Display" w:hAnsi="Wix Madefor Display" w:cs="Wix Madefor Display"/>
        <w:color w:val="000000"/>
        <w:sz w:val="24"/>
        <w:szCs w:val="24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5822995</wp:posOffset>
          </wp:positionH>
          <wp:positionV relativeFrom="paragraph">
            <wp:posOffset>-21191</wp:posOffset>
          </wp:positionV>
          <wp:extent cx="1143000" cy="228600"/>
          <wp:effectExtent l="0" t="0" r="3810" b="3175"/>
          <wp:wrapTight wrapText="bothSides">
            <wp:wrapPolygon edited="0">
              <wp:start x="1204" y="0"/>
              <wp:lineTo x="0" y="7975"/>
              <wp:lineTo x="0" y="17945"/>
              <wp:lineTo x="4416" y="19938"/>
              <wp:lineTo x="6424" y="19938"/>
              <wp:lineTo x="21279" y="17945"/>
              <wp:lineTo x="21279" y="0"/>
              <wp:lineTo x="14052" y="0"/>
              <wp:lineTo x="1204" y="0"/>
            </wp:wrapPolygon>
          </wp:wrapTight>
          <wp:docPr id="887584906" name="Patter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7584906" name="Pattern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Wix Madefor Display SemiBold" w:hAnsi="Wix Madefor Display SemiBold"/>
        <w:sz w:val="36"/>
        <w:szCs w:val="36"/>
      </w:rPr>
      <mc:AlternateContent xmlns:mc="http://schemas.openxmlformats.org/markup-compatibility/2006"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-896620</wp:posOffset>
              </wp:positionH>
              <wp:positionV relativeFrom="paragraph">
                <wp:posOffset>266065</wp:posOffset>
              </wp:positionV>
              <wp:extent cx="9144000" cy="12065"/>
              <wp:effectExtent l="0" t="0" r="0" b="0"/>
              <wp:wrapNone/>
              <wp:docPr id="4" name="Gradient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gray">
                      <a:xfrm>
                        <a:off x="0" y="0"/>
                        <a:ext cx="9144000" cy="12065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009BFF"/>
                          </a:gs>
                          <a:gs pos="52999">
                            <a:srgbClr val="3C53FF"/>
                          </a:gs>
                          <a:gs pos="100000">
                            <a:srgbClr val="FCFCFC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Wix Madefor Display SemiBold" w:hAnsi="Wix Madefor Display SemiBold"/>
        <w:color w:val="000000"/>
        <w:sz w:val="22"/>
        <w:szCs w:val="24"/>
      </w:rPr>
      <w:t>Claude Skills Library — Full Reference</w:t>
    </w:r>
  </w:p>
  <w:p>
    <w:pPr>
      <w:rPr>
        <w:rFonts w:ascii="Wix Madefor Display SemiBold" w:hAnsi="Wix Madefor Display SemiBold" w:cs="Wix Madefor Display SemiBold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ix Madefor Display" w:cs="Wix Madefor Display" w:eastAsia="Wix Madefor Display" w:hAnsi="Wix Madefor Display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Paragraph">
    <w:name w:val="List Paragraph"/>
    <w:basedOn w:val="Normal"/>
    <w:qFormat/>
    <w:pPr>
      <w:ind w:left="720"/>
    </w:pPr>
    <w:rPr>
      <w:rFonts w:ascii="Wix Madefor Display" w:cs="Wix Madefor Display" w:eastAsia="Wix Madefor Display" w:hAnsi="Wix Madefor Display"/>
      <w:color w:val="00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  <Relationship Id="rId8" Type="http://schemas.openxmlformats.org/officeDocument/2006/relationships/header" Target="header1.xml"/>
  <Relationship Id="rId9" Type="http://schemas.openxmlformats.org/officeDocument/2006/relationships/footer" Target="footer1.xml"/>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 standalone="yes"?>
<Relationships xmlns="http://schemas.openxmlformats.org/package/2006/relationships">
  <Relationship Id="rId1" Type="http://schemas.openxmlformats.org/officeDocument/2006/relationships/image" Target="media/image2.png"/>
</Relationships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
  <Relationship Id="rId1" Type="http://schemas.openxmlformats.org/officeDocument/2006/relationships/image" Target="media/image1.png"/>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2026-04-28T16:08:36.018Z</dcterms:created>
  <dcterms:modified xsi:type="dcterms:W3CDTF">2026-04-28T16:08:36.018Z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