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Market Research Gold Standard Guide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How to create the most thorough Pattern market research document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BLUF: </w:t>
            </w:r>
            <w:r>
              <w:rPr>
                <w:rFonts w:ascii="Wix Madefor Display" w:hAnsi="Wix Madefor Display" w:eastAsia="Wix Madefor Display"/>
                <w:sz w:val="18"/>
              </w:rPr>
              <w:t>A thorough market research report is a decision document: it defines the market boundary, proves buyer behavior, reconciles market size, maps competition and substitutes, tests moat durability, and converts findings into underwriting or operating actions.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Decision Standard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State the decision before research begins.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Use a MECE hypothesis tree to identify what must be true.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Separate facts, estimates, hypotheses, vendor claims, and Pattern analytics.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Build artifacts in every major section; prose-only sections are incomplete.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End with actions, underwriting implications, and open questions.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Canonical Report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Minimum standard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Cover and KPI strip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4-6 figures that frame the category.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Context and scope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Boundary, value chain, in-scope, out-of-scope, adjacent markets.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Company/category, product, market, model, thesis,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comparison, source/scope table, arithmetic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Buyer archetypes, JTBD, budget owner, switching friction.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competitors, substitutes, platform-native threats, white space.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archetypes, value capture, margin/retention/payback proxies.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Technology Trends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Quantified signals, durable vs. eroding layers, horizon.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Regulatory/Risk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Jurisdiction, timing, documented scope, implication, do-not-over-claim.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Analysis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type, replicability horizon, binding limits, verdict.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Implications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a CEO, investor, or operator should do differently.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Appendix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Methodology, source labels, arithmetic corrections, open questions.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Workflow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4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5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Output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Define the decision and working hypothesis.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statement, hypothesis, and disconfirming conditions.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Complete the research brief.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Issue tree, source plan, success criteria, kill criteria.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Collect evidence by pyramid level.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L4 market, L3 customer, L2 competitive, L1 position evidence base.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decision artifacts.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 strip, sizing tables, buyer maps, competitor maps, economics tables, risk tables.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Check arithmetic and source labels.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CAGR ties, source/scope reconciliation, evidence labels.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Draft and harden.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then Pattern DOCX and QA.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Sizing Rules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Separate reference markets, analytic slices, and upside scenarios.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Do not sum overlapping markets unless overlap is removed.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Tie every CAGR to start value, end value, and number of years.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Label Pattern-built estimates separately from third-party market figures.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Treat vendor or commissioned studies as directional unless independently triangulated.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Core formula: CAGR = (End value / Start value) ^ (1 / Years) - 1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Evidence Labels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5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 for</w:t>
            </w:r>
          </w:p>
        </w:tc>
        <w:tc>
          <w:tcPr>
            <w:tcW w:type="dxa" w:w="3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Treatment</w:t>
            </w:r>
          </w:p>
        </w:tc>
      </w:tr>
      <w:tr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Fact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Official, primary, or directly sourced evidence.</w:t>
            </w:r>
          </w:p>
        </w:tc>
        <w:tc>
          <w:tcPr>
            <w:tcW w:type="dxa" w:w="3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Strongest support.</w:t>
            </w:r>
          </w:p>
        </w:tc>
      </w:tr>
      <w:tr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Estimate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Reasoned calculation from credible inputs.</w:t>
            </w:r>
          </w:p>
        </w:tc>
        <w:tc>
          <w:tcPr>
            <w:tcW w:type="dxa" w:w="3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Show assumptions.</w:t>
            </w:r>
          </w:p>
        </w:tc>
      </w:tr>
      <w:tr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Hypothesis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Plausible but unproven interpretation.</w:t>
            </w:r>
          </w:p>
        </w:tc>
        <w:tc>
          <w:tcPr>
            <w:tcW w:type="dxa" w:w="3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State confirming evidence needed.</w:t>
            </w:r>
          </w:p>
        </w:tc>
      </w:tr>
      <w:tr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Vendor claim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Vendor, PR, or commissioned customer claim.</w:t>
            </w:r>
          </w:p>
        </w:tc>
        <w:tc>
          <w:tcPr>
            <w:tcW w:type="dxa" w:w="3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Directional only.</w:t>
            </w:r>
          </w:p>
        </w:tc>
      </w:tr>
      <w:tr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analytic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Internal model, bridge, or scenario.</w:t>
            </w:r>
          </w:p>
        </w:tc>
        <w:tc>
          <w:tcPr>
            <w:tcW w:type="dxa" w:w="3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Keep separate from consensus.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Executive Summary Spine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must answer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 Overview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is the company/category and why does it matter?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Product Offering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platform/functionality is offered, and what differentiation is structural vs. transient?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Dynamic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market forces make this attractive or unattractive now?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Business Model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How does value translate into revenue, margin, retention, and scalability?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Thesis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must be true to believe the opportunity is attractive?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Open Questions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Which diligence items could change the recommendation?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Release Checklist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headline is an insight, not a topic label.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table has a what-this-proves interpretation.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market size states scope, source type, year, and arithmetic.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vendor claim is labeled as vendor or commissioned evidence.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moat claim states structural, conditional, transient, or unproven durability.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strategic implication changes an action, underwriting assumption, or diligence question.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Paste-Ready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5F8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Prompt: </w:t>
            </w:r>
            <w:r>
              <w:rPr>
                <w:rFonts w:ascii="Wix Madefor Display" w:hAnsi="Wix Madefor Display" w:eastAsia="Wix Madefor Display"/>
                <w:sz w:val="18"/>
              </w:rPr>
              <w:t>Run a full standalone market research report on [market/company/category]. Decision: [enter/invest/acquire/partner/prioritize/avoid]. Geography: [scope]. Time horizon: [horizon]. Use market-research in Full mode, load mckinsey-consultant first, use the gold-standard architecture, label evidence, show market-sizing arithmetic, include artifacts in every section, then run writing-style, claim-scrutinizer, red-team, pattern-docx, and doc-quality-checker.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