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Wix Madefor Display SemiBold" w:hAnsi="Wix Madefor Display SemiBold" w:eastAsia="Wix Madefor Display SemiBold"/>
          <w:b/>
          <w:color w:val="0F4761"/>
          <w:sz w:val="44"/>
        </w:rPr>
        <w:t>Claude Skills Library</w:t>
      </w:r>
    </w:p>
    <w:p>
      <w:pPr>
        <w:spacing w:after="240"/>
      </w:pPr>
      <w:r>
        <w:rPr>
          <w:rFonts w:ascii="Wix Madefor Display" w:hAnsi="Wix Madefor Display" w:eastAsia="Wix Madefor Display"/>
          <w:color w:val="000000"/>
          <w:sz w:val="20"/>
        </w:rPr>
        <w:t>33 skills across 8 groups | 1 orchestration entry point | 5 functional layers | 3 pipelines | June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D9E2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Source of truth: </w:t>
            </w:r>
            <w:r>
              <w:rPr>
                <w:rFonts w:ascii="Wix Madefor Display" w:hAnsi="Wix Madefor Display" w:eastAsia="Wix Madefor Display"/>
                <w:sz w:val="18"/>
              </w:rPr>
              <w:t>Root skill folders in this repo are canonical. Packaged plugin copies must be synced from root before publishing.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D9E2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Deal-pack execution standard: </w:t>
            </w:r>
            <w:r>
              <w:rPr>
                <w:rFonts w:ascii="Wix Madefor Display" w:hAnsi="Wix Madefor Display" w:eastAsia="Wix Madefor Display"/>
                <w:sz w:val="18"/>
              </w:rPr>
              <w:t>For checkpointed full-deal work, use docs/new-deal-gold-standard-prompt-sequence.md with new-deal-pipeline/quality-contract.md loaded before research starts.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How Skills Fit Together</w:t>
      </w:r>
    </w:p>
    <w:p>
      <w:pPr>
        <w:spacing w:after="120" w:line="252" w:lineRule="auto"/>
      </w:pPr>
      <w:r>
        <w:rPr>
          <w:rFonts w:ascii="Wix Madefor Display" w:hAnsi="Wix Madefor Display" w:eastAsia="Wix Madefor Display"/>
          <w:color w:val="000000"/>
          <w:sz w:val="18"/>
        </w:rPr>
        <w:t>Use deal-master for full deal workflows. Use the most specific skill directly for standalone tasks.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1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Skills</w:t>
            </w:r>
          </w:p>
        </w:tc>
        <w:tc>
          <w:tcPr>
            <w:tcW w:type="dxa" w:w="57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What it owns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0 - Deal Orchestration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Inventories existing work, routes deal workflow, initializes belief register.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1 - Analytical Method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Owns problem framing, MECE issue trees, Pyramid Principle, and analytical method.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1b - Evidence Control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analytical-operating-system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Owns evidence states, belief registers, Bayesian updates, kill triggers, decision posture.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2 - Research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market-research, ic-memo, competitive-moat-assessment, tam-sam-som, GTM, finance quickref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Gathers evidence and creates research or memo deliverable architecture.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3 - Quality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writing-style, claim-scrutinizer, red-team, pre-mortem, boundability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Hardens prose, claims, evidence tags, adverse cases, and failure modes before production.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4 - Production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pattern-docx, pattern-investment-pptx, financial-model-builder, diligence-ddr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Produces branded output files only after quality layers are complete; Pattern DOCX uses true Word footnotes for thesis-critical sources.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4b - QA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doc-quality-checker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Checks brand compliance, formatting, consistency, and remaining draft language.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Auto-Running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2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Skill</w:t>
            </w:r>
          </w:p>
        </w:tc>
        <w:tc>
          <w:tcPr>
            <w:tcW w:type="dxa" w:w="8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Runs when</w:t>
            </w:r>
          </w:p>
        </w:tc>
      </w:tr>
      <w:tr>
        <w:tc>
          <w:tcPr>
            <w:tcW w:type="dxa" w:w="2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writing-style</w:t>
            </w:r>
          </w:p>
        </w:tc>
        <w:tc>
          <w:tcPr>
            <w:tcW w:type="dxa" w:w="8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Any formal output: memos, reports, investment theses, PPTX narrative text.</w:t>
            </w:r>
          </w:p>
        </w:tc>
      </w:tr>
      <w:tr>
        <w:tc>
          <w:tcPr>
            <w:tcW w:type="dxa" w:w="2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doc-quality-checker</w:t>
            </w:r>
          </w:p>
        </w:tc>
        <w:tc>
          <w:tcPr>
            <w:tcW w:type="dxa" w:w="8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After any pattern-docx or pattern-investment-pptx file is produced.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Primary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26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42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When to use</w:t>
            </w:r>
          </w:p>
        </w:tc>
        <w:tc>
          <w:tcPr>
            <w:tcW w:type="dxa" w:w="4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</w:t>
            </w:r>
          </w:p>
        </w:tc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Start/resume full deal intelligence workflow.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Routed phase plan and evidence register.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new-deal-pipeline</w:t>
            </w:r>
          </w:p>
        </w:tc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new deal pack requiring market research, competitive assessment, and IC memo.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Three DOCX outputs, shared evidence registers, cross-output QA.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ic-memo-pipeline</w:t>
            </w:r>
          </w:p>
        </w:tc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IC memo from intake to branded DOCX.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10-section IC memo, quality passes, DOCX QA.</w:t>
            </w:r>
          </w:p>
        </w:tc>
      </w:tr>
      <w:tr>
        <w:tc>
          <w:tcPr>
            <w:tcW w:type="dxa" w:w="2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market-research-pipeline</w:t>
            </w:r>
          </w:p>
        </w:tc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Standalone gold-standard market research report.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 DOCX market research report.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Market Research Standard</w:t>
      </w:r>
    </w:p>
    <w:p>
      <w:pPr>
        <w:spacing w:after="120" w:line="252" w:lineRule="auto"/>
      </w:pPr>
      <w:r>
        <w:rPr>
          <w:rFonts w:ascii="Wix Madefor Display" w:hAnsi="Wix Madefor Display" w:eastAsia="Wix Madefor Display"/>
          <w:color w:val="000000"/>
          <w:sz w:val="18"/>
        </w:rPr>
        <w:t>Full-mode market research must use the standalone gold-standard guide and the skill reference template. The report must include decision artifacts, source labels, market-sizing arithmetic, competitive substitute logic, moat durability, and strategic implications.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Report section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Minimum standard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Cover and KPI strip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4-6 figures that frame the category.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Context and scope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Boundary, value chain, in-scope, out-of-scope, adjacent markets.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Executive Summary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Company/category, product, market, model, thesis, open questions.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Sizing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Frame comparison, source/scope table, arithmetic checks.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Customer Segmentation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Buyer archetypes, JTBD, budget owner, switching friction.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Competitive Landscape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Direct competitors, substitutes, platform-native threats, white space.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Pricing and Economics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Pricing archetypes, value capture, margin/retention/payback proxies.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Technology Trends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Quantified signals, durable vs. eroding layers, horizon.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Regulatory/Risk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Jurisdiction, timing, documented scope, implication, do-not-over-claim.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Moat Analysis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Moat type, replicability horizon, binding limits, verdict.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Strategic Implications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a CEO, investor, or operator should do differently.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Appendix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Methodology, source labels, arithmetic corrections, open questions.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Evidence and Footnote Standard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2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76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tags</w:t>
            </w:r>
          </w:p>
        </w:tc>
        <w:tc>
          <w:tcPr>
            <w:tcW w:type="dxa" w:w="7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[F · H]-style tags for thesis-critical evidence: type = fact / estimate / hypothesis; confidence = high / medium / low.</w:t>
            </w:r>
          </w:p>
        </w:tc>
      </w:tr>
      <w:tr>
        <w:tc>
          <w:tcPr>
            <w:tcW w:type="dxa" w:w="3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True Word footnotes</w:t>
            </w:r>
          </w:p>
        </w:tc>
        <w:tc>
          <w:tcPr>
            <w:tcW w:type="dxa" w:w="7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 DOCX reports use real w:footnoteReference runs mapped to word/footnotes.xml. Do not emulate footnotes with manual page-bottom text.</w:t>
            </w:r>
          </w:p>
        </w:tc>
      </w:tr>
      <w:tr>
        <w:tc>
          <w:tcPr>
            <w:tcW w:type="dxa" w:w="3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Strict source gate</w:t>
            </w:r>
          </w:p>
        </w:tc>
        <w:tc>
          <w:tcPr>
            <w:tcW w:type="dxa" w:w="7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If a thesis-critical claim lacks support, recurring numbers conflict, arithmetic is missing, or superlatives are unsupported, return HALT instead of a polished draft.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Pivotal Gold-Standard Guides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Guide</w:t>
            </w:r>
          </w:p>
        </w:tc>
        <w:tc>
          <w:tcPr>
            <w:tcW w:type="dxa" w:w="4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DOCX</w:t>
            </w:r>
          </w:p>
        </w:tc>
        <w:tc>
          <w:tcPr>
            <w:tcW w:type="dxa" w:w="3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Research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docs/Market_Research_Gold_Standard_Guide.docx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standalone market research report.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 Memo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docs/IC_Memo_Gold_Standard_Guide.docx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IC memo with gates, NTBs, returns bridge, risks, and open items.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Competitive Assessment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docs/Competitive_Assessment_Gold_Standard_Guide.docx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Competitive arena, competitor map, moat proof, durability, and displacement paths.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Executive Summary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docs/Executive_Summary_Gold_Standard_Guide.docx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Two-page six-section summary for market research, IC memos, diligence, and strategy.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Strategic Diligence Gold Standard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docs/Strategic_Diligence_Gold_Standard_Guide.docx</w:t>
            </w:r>
          </w:p>
        </w:tc>
        <w:tc>
          <w:tcPr>
            <w:tcW w:type="dxa" w:w="3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 registry, evidence states, stress tests, kill triggers, and underwriting handoff.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Related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42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66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README.md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Repo source of truth for deployed skills, layers, and invocation guide.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CHEATSHEET.md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Quick-reference task map, layer sequence, workflow pairs, and brand constants.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docs/market-research-gold-standard-guide.md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Standalone source guide for the most thorough market research report.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docs/Market_Research_Gold_Standard_Guide.docx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Generated Word guide for full standalone market research reports.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docs/ic-memo-gold-standard-guide.md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Standalone source guide for the most thorough IC memo.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docs/competitive-assessment-gold-standard-guide.md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Standalone source guide for competitive assessment and moat analysis.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docs/executive-summary-gold-standard-guide.md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Standalone source guide for two-page executive summaries.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docs/strategic-diligence-gold-standard-guide.md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Standalone source guide for NTB diligence and underwriting handoff.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market-research/references/gold-standard-report-template.md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Skill reference loaded during Full-mode market research.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docs/generate_claude_docs.py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Regenerates the Word reference artifacts.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new-deal-pipeline/quality-contract.md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Mandatory evidence, MECE, source, arithmetic, and anti-hyperbole gate for full deal packs.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docs/new-deal-gold-standard-prompt-sequence.md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Repeatable prompt sequence for full market research, competitive assessment, IC memo, and cross-output QA.</w:t>
            </w:r>
          </w:p>
        </w:tc>
      </w:tr>
      <w:tr>
        <w:tc>
          <w:tcPr>
            <w:tcW w:type="dxa" w:w="4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pattern-docx/references/production-spec.md</w:t>
            </w:r>
          </w:p>
        </w:tc>
        <w:tc>
          <w:tcPr>
            <w:tcW w:type="dxa" w:w="6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 DOCX implementation spec, including true Word footnotes and source-tag format.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Wix Madefor Display" w:hAnsi="Wix Madefor Display" w:eastAsia="Wix Madefor Display"/>
        <w:sz w:val="14"/>
      </w:rPr>
      <w:t>Internal Reference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ix Madefor Display SemiBold" w:hAnsi="Wix Madefor Display SemiBold" w:eastAsia="Wix Madefor Display SemiBold"/>
        <w:color w:val="0F4761"/>
        <w:sz w:val="16"/>
      </w:rPr>
      <w:t>PATTERN | Claude Skills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ix Madefor Display" w:hAnsi="Wix Madefor Display" w:eastAsia="Wix Madefor Display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Pattern</dc:creator>
  <cp:keywords/>
  <dc:description>Generated by docs/generate_claude_docs.py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