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FÁBRICA DE CRÉDITO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Canal único de solicitud de crédito vía API</w:t>
      </w:r>
    </w:p>
    <w:p>
      <w:pPr>
        <w:pBdr>
          <w:bottom w:val="single" w:color="1F3864" w:sz="8" w:space="6"/>
        </w:pBdr>
        <w:spacing w:after="400"/>
        <w:jc w:val="center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Especificación de Requerimientos Funcionales y No Funcionales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Corporación Maresa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Financieras: Banco Guayaquil · Originarsa · Banco del Pacífico</w:t>
      </w:r>
    </w:p>
    <w:p>
      <w:pPr>
        <w:jc w:val="center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Octubre 2026 – Versión 1.0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Contexto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Corporación Maresa recibe solicitudes de crédito vehicular desde sus concesionarios y las gestiona por separado con cada entidad financiera. Cada una dispone de su propio portal, formato, documentos y tiempos de respuesta, lo que genera doble digitación, baja trazabilidad, ausencia de un comparativo de ofertas y dependencia de correos y llamadas para el seguimiento.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Fábrica de Crédito</w:t>
      </w:r>
      <w:r>
        <w:rPr>
          <w:rFonts w:ascii="Calibri" w:cs="Calibri" w:eastAsia="Calibri" w:hAnsi="Calibri"/>
          <w:sz w:val="22"/>
          <w:szCs w:val="22"/>
        </w:rPr>
        <w:t xml:space="preserve"> propone una plataforma API-First que actúa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canal único</w:t>
      </w:r>
      <w:r>
        <w:rPr>
          <w:rFonts w:ascii="Calibri" w:cs="Calibri" w:eastAsia="Calibri" w:hAnsi="Calibri"/>
          <w:sz w:val="22"/>
          <w:szCs w:val="22"/>
        </w:rPr>
        <w:t xml:space="preserve">. El asesor registra la solicitud una sola vez y la plataforma: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transforma a un modelo de datos canónico,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distribuye a las financieras seleccionadas: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Banco Guayaquil, Originarsa y Banco del Pacífico (BPAC)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centraliza el seguimiento, las respuestas y la aprobación final.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1.1 Objetivo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Disponer de una API única que permita el envío, seguimiento y aprobación de solicitudes de crédito con múltiples entidades financieras, reduciendo tiempos de gestión y mejorando la trazabilidad y la experiencia del cliente.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1.2 Actores</w:t>
      </w:r>
    </w:p>
    <w:tbl>
      <w:tblPr>
        <w:tblW w:type="dxa" w:w="9638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8EA9DB" w:sz="4"/>
          <w:insideV w:val="single" w:color="8EA9DB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63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Asesor comercial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 la solicitud, carga documentos y da seguimiento.</w:t>
            </w:r>
          </w:p>
        </w:tc>
      </w:tr>
      <w:tr>
        <w:trPr>
          <w:cantSplit/>
        </w:trPr>
        <w:tc>
          <w:tcPr>
            <w:tcW w:type="dxa" w:w="3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Jefe de agencia / supervisor</w:t>
            </w:r>
          </w:p>
        </w:tc>
        <w:tc>
          <w:tcPr>
            <w:tcW w:type="dxa" w:w="66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Aprueba envíos o excepciones y supervisa la gestión de su agencia.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Analista de crédito Maresa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Revisa la calidad de la solicitud y gestiona casos especiales.</w:t>
            </w:r>
          </w:p>
        </w:tc>
      </w:tr>
      <w:tr>
        <w:trPr>
          <w:cantSplit/>
        </w:trPr>
        <w:tc>
          <w:tcPr>
            <w:tcW w:type="dxa" w:w="3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Entidades financieras</w:t>
            </w:r>
          </w:p>
        </w:tc>
        <w:tc>
          <w:tcPr>
            <w:tcW w:type="dxa" w:w="66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Banco Guayaquil, Originarsa y Banco del Pacífico; reciben y responden solicitudes vía API.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Administrador de la plataforma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Configura financieras, reglas, usuarios y parámetros.</w:t>
            </w:r>
          </w:p>
        </w:tc>
      </w:tr>
      <w:tr>
        <w:trPr>
          <w:cantSplit/>
        </w:trPr>
        <w:tc>
          <w:tcPr>
            <w:tcW w:type="dxa" w:w="3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Sistemas internos</w:t>
            </w:r>
          </w:p>
        </w:tc>
        <w:tc>
          <w:tcPr>
            <w:tcW w:type="dxa" w:w="66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CRM/ERP de Maresa y gestor documental.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1.3 Alcance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Incluye:</w:t>
      </w:r>
      <w:r>
        <w:rPr>
          <w:rFonts w:ascii="Calibri" w:cs="Calibri" w:eastAsia="Calibri" w:hAnsi="Calibri"/>
          <w:sz w:val="22"/>
          <w:szCs w:val="22"/>
        </w:rPr>
        <w:t xml:space="preserve"> registro, envío, seguimiento y aprobación de solicitudes, y la selección de la oferta.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Excluye:</w:t>
      </w:r>
      <w:r>
        <w:rPr>
          <w:rFonts w:ascii="Calibri" w:cs="Calibri" w:eastAsia="Calibri" w:hAnsi="Calibri"/>
          <w:sz w:val="22"/>
          <w:szCs w:val="22"/>
        </w:rPr>
        <w:t xml:space="preserve"> el desembolso y la evaluación crediticia, que continúan siendo responsabilidad de cada financiera.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1.4 Ciclo de vida de la solicitud</w:t>
      </w:r>
    </w:p>
    <w:tbl>
      <w:tblPr>
        <w:tblW w:type="dxa" w:w="9638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8EA9DB" w:sz="4"/>
          <w:insideV w:val="single" w:color="8EA9DB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23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Borrador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Solicitud registrada, aún no enviada.</w:t>
            </w:r>
          </w:p>
        </w:tc>
      </w:tr>
      <w:tr>
        <w:trPr>
          <w:cantSplit/>
        </w:trPr>
        <w:tc>
          <w:tcPr>
            <w:tcW w:type="dxa" w:w="34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Enviada</w:t>
            </w:r>
          </w:p>
        </w:tc>
        <w:tc>
          <w:tcPr>
            <w:tcW w:type="dxa" w:w="62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Transmitida a una o más financieras; pendiente de acuse.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 análisis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 financiera confirmó la recepción y está evaluando.</w:t>
            </w:r>
          </w:p>
        </w:tc>
      </w:tr>
      <w:tr>
        <w:trPr>
          <w:cantSplit/>
        </w:trPr>
        <w:tc>
          <w:tcPr>
            <w:tcW w:type="dxa" w:w="34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Información adicional requerida</w:t>
            </w:r>
          </w:p>
        </w:tc>
        <w:tc>
          <w:tcPr>
            <w:tcW w:type="dxa" w:w="62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 financiera solicita documentos o datos complementarios.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Aprobada / Aprobada con condiciones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Respuesta favorable, con o sin condiciones adicionales.</w:t>
            </w:r>
          </w:p>
        </w:tc>
      </w:tr>
      <w:tr>
        <w:trPr>
          <w:cantSplit/>
        </w:trPr>
        <w:tc>
          <w:tcPr>
            <w:tcW w:type="dxa" w:w="34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Rechazada</w:t>
            </w:r>
          </w:p>
        </w:tc>
        <w:tc>
          <w:tcPr>
            <w:tcW w:type="dxa" w:w="62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Respuesta desfavorable de la financiera.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Oferta aceptada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cliente eligió una oferta; se notifica a las demás financieras.</w:t>
            </w:r>
          </w:p>
        </w:tc>
      </w:tr>
      <w:tr>
        <w:trPr>
          <w:cantSplit/>
        </w:trPr>
        <w:tc>
          <w:tcPr>
            <w:tcW w:type="dxa" w:w="34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Formalizada</w:t>
            </w:r>
          </w:p>
        </w:tc>
        <w:tc>
          <w:tcPr>
            <w:tcW w:type="dxa" w:w="62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 financiera confirma la instrumentación del crédito.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Desistida / Expirada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Anulada por el usuario o vencida por falta de respuesta o acción.</w:t>
            </w:r>
          </w:p>
        </w:tc>
      </w:tr>
    </w:tbl>
    <w:p>
      <w:pPr>
        <w:pStyle w:val="Heading1"/>
        <w:keepNext/>
        <w:pageBreakBefore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Requerimientos Funcionales (RF)</w:t>
      </w:r>
    </w:p>
    <w:tbl>
      <w:tblPr>
        <w:tblW w:type="dxa" w:w="9638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8EA9DB" w:sz="4"/>
          <w:insideV w:val="single" w:color="8EA9DB" w:sz="4"/>
        </w:tblBorders>
      </w:tblPr>
      <w:tblGrid>
        <w:gridCol w:w="1000"/>
        <w:gridCol w:w="2300"/>
        <w:gridCol w:w="6338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633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Registro de solicitud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Permitir crear una solicitud con datos del cliente (persona natural o jurídica), cónyuge/garante, vehículo (marca, modelo, año, precio), monto, entrada, plazo y tipo de crédito.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Validación de datos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Validar cédula/RUC (dígito verificador), campos obligatorios, rangos de entrada y plazo por financiera, y formatos de correo y teléfono antes del envío.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Carga de documentos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Adjuntar documentos de soporte (cédula, roles de pago, estados de cuenta, RUC, declaraciones) validando tipo, tamaño y formato.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Consentimiento del cliente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Registrar la autorización del cliente para consulta en buró de crédito y tratamiento de datos (LOPDP), con fecha, canal y evidencia. Sin consentimiento no se permite el envío.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Selección de financieras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Permitir enviar la solicitud a una, varias o todas las financieras, según reglas de elegibilidad (monto, tipo de vehículo, perfil del cliente).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Envío unificado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Exponer un endpoint único (POST /solicitudes) que transforme el modelo canónico al formato de cada financiera mediante adaptadores y realice el envío.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único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Generar un ID interno de solicitud y mapearlo con el número de trámite devuelto por cada financiera.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Seguimiento de estado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Consultar el estado consolidado y el estado por financiera (GET /solicitudes/{id} y GET /solicitudes/{id}/respuestas).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Recepción de respuestas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Recibir actualizaciones de las financieras mediante webhook o, si no lo soportan, mediante consulta programada (polling).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Información adicional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Permitir que una financiera requiera documentos o datos adicionales y que el asesor los complemente sin crear una nueva solicitud.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Comparativo de ofertas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Mostrar las respuestas aprobadas lado a lado: tasa, plazo, cuota, entrada, seguros y condiciones.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RF-12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Aceptación de oferta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Permitir seleccionar una oferta, notificar su aceptación a la financiera elegida y el desistimiento a las demás.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Aprobación interna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Exigir la aprobación del supervisor o analista de Maresa antes del envío o de la aceptación, según montos o excepciones configuradas.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RF-14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Notificar por correo o push al asesor y al supervisor ante cambios de estado, requerimientos y vencimientos.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Historial y bitácora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Registrar cada evento de la solicitud (quién, qué, cuándo y desde qué canal) y mostrarlo como línea de tiempo.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RF-16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Desistimiento y expiración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Permitir anular solicitudes y expirarlas automáticamente tras N días sin respuesta o sin acción del asesor.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Gestión de financieras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Administrar financieras, endpoints, credenciales, reglas de elegibilidad y documentos requeridos sin modificar código.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RF-18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Usuarios y roles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Administrar usuarios por concesionario y agencia con roles de asesor, supervisor, analista y administrador.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RF-19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Reportes e indicadores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Generar reportes por estado, financiera, agencia y asesor; tasa de aprobación, tiempo promedio de respuesta y colocación.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RF-20</w:t>
            </w:r>
          </w:p>
        </w:tc>
        <w:tc>
          <w:tcPr>
            <w:tcW w:type="dxa" w:w="23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Integración interna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Sincronizar cliente y vehículo con el CRM/ERP de Maresa e informar la oferta aceptada para facturación.</w:t>
            </w:r>
          </w:p>
        </w:tc>
      </w:tr>
    </w:tbl>
    <w:p>
      <w:pPr>
        <w:pStyle w:val="Heading1"/>
        <w:keepNext/>
        <w:pageBreakBefore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Requerimientos No Funcionales (RNF)</w:t>
      </w:r>
    </w:p>
    <w:tbl>
      <w:tblPr>
        <w:tblW w:type="dxa" w:w="9638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8EA9DB" w:sz="4"/>
          <w:insideV w:val="single" w:color="8EA9DB" w:sz="4"/>
        </w:tblBorders>
      </w:tblPr>
      <w:tblGrid>
        <w:gridCol w:w="1050"/>
        <w:gridCol w:w="2250"/>
        <w:gridCol w:w="6338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3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RNF-01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Diseño API-First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contrato se define primero en OpenAPI 3.x, versionado (/v1/), y es la fuente para documentación, mocks y pruebas.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RNF-02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Arquitectura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Gateway como punto único de entrada, un adaptador por financiera (patrón Adapter / Anti-Corruption Layer) y un modelo de datos canónico.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RNF-03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OAuth 2.0 / OpenID Connect: client credentials entre sistemas y tokens de usuario para el front. Credenciales de financieras en un almacén de secretos.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RNF-04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Protección de datos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TLS 1.2 o superior, cifrado en reposo de datos personales y documentos, y enmascaramiento de cédula y datos financieros en logs.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RNF-05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Autorización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Control por roles y por alcance: un asesor solo visualiza las solicitudes de su agencia.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RNF-06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Cumplimiento normativo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Cumplir la Ley Orgánica de Protección de Datos Personales del Ecuador: consentimiento, finalidad, derechos del titular, retención y eliminación.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RNF-07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99,5 % mensual en horario comercial extendido. La caída de una financiera no afecta el envío a las demás.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RNF-08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Respuesta de la API interna menor a 2 s (p95) en registro y consulta. Envío a financieras asíncrono con confirmación inmediata (HTTP 202).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RNF-09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Resiliencia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Reintentos con backoff exponencial, circuit breaker por financiera, timeouts configurables y cola de mensajes con dead-letter.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RNF-10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Idempotencia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Encabezado Idempotency-Key en operaciones POST para evitar solicitudes duplicadas por reintentos.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Soportar picos de demanda (ferias, fin de mes) escalando horizontalmente adaptadores y procesadores de cola.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RNF-12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Observabilidad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Correlation-ID de extremo a extremo, logs estructurados, métricas por financiera (latencia, errores, tasa de respuesta) y alertas.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Auditoría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Bitácora inmutable de accesos y cambios, con retención según la política de Maresa y la normativa vigente.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RNF-14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Interoperabilidad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JSON como formato estándar, errores normalizados (RFC 7807 problem+json), fechas ISO 8601 y montos en USD con dos decimales.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Extensibilidad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Incorporar una nueva financiera solo requiere un nuevo adaptador y su configuración, sin modificar el contrato público.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RNF-16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Límites por consumidor en el Gateway y respeto de los límites impuestos por cada financiera.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RNF-17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Pruebas unitarias y de contrato (cobertura mínima 70 %), pipeline CI/CD y ambientes separados de desarrollo, QA y producción.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RNF-18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Usabilidad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 responsive (web y móvil para asesores en piso de venta); registro de una solicitud en 5 minutos o menos; mensajes de error comprensibles.</w:t>
            </w:r>
          </w:p>
        </w:tc>
      </w:tr>
      <w:tr>
        <w:trPr>
          <w:cantSplit/>
        </w:trP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RNF-19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6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Portal de desarrolladores con OpenAPI navegable, ejemplos, sandbox y guía de incorporación para nuevas financieras.</w:t>
            </w:r>
          </w:p>
        </w:tc>
      </w:tr>
      <w:tr>
        <w:trPr>
          <w:cantSplit/>
        </w:trPr>
        <w:tc>
          <w:tcPr>
            <w:tcW w:type="dxa" w:w="10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RNF-20</w:t>
            </w:r>
          </w:p>
        </w:tc>
        <w:tc>
          <w:tcPr>
            <w:tcW w:type="dxa" w:w="225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Respaldo y recuperación</w:t>
            </w:r>
          </w:p>
        </w:tc>
        <w:tc>
          <w:tcPr>
            <w:tcW w:type="dxa" w:w="63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Respaldos diarios, RPO de 24 h o menos y RTO de 4 h o menos.</w:t>
            </w:r>
          </w:p>
        </w:tc>
      </w:tr>
    </w:tbl>
    <w:p>
      <w:pPr>
        <w:pStyle w:val="Heading1"/>
        <w:keepNext/>
        <w:pageBreakBefore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Endpoints base sugeridos</w:t>
      </w:r>
    </w:p>
    <w:tbl>
      <w:tblPr>
        <w:tblW w:type="dxa" w:w="9638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8EA9DB" w:sz="4"/>
          <w:insideV w:val="single" w:color="8EA9DB" w:sz="4"/>
        </w:tblBorders>
      </w:tblPr>
      <w:tblGrid>
        <w:gridCol w:w="1000"/>
        <w:gridCol w:w="4800"/>
        <w:gridCol w:w="3838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83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/v1/solicitudes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Crear y enviar la solicitud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8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/v1/solicitudes/{id}</w:t>
            </w:r>
          </w:p>
        </w:tc>
        <w:tc>
          <w:tcPr>
            <w:tcW w:type="dxa" w:w="38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Estado consolidado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/v1/solicitudes/{id}/documentos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Cargar documentos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8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/v1/solicitudes/{id}/ofertas</w:t>
            </w:r>
          </w:p>
        </w:tc>
        <w:tc>
          <w:tcPr>
            <w:tcW w:type="dxa" w:w="38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Comparativo de respuestas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/v1/solicitudes/{id}/ofertas/{ofertaId}/aceptar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Aceptar una oferta</w:t>
            </w:r>
          </w:p>
        </w:tc>
      </w:tr>
      <w:tr>
        <w:trPr>
          <w:cantSplit/>
        </w:trPr>
        <w:tc>
          <w:tcPr>
            <w:tcW w:type="dxa" w:w="10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800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/v1/solicitudes/{id}/desistir</w:t>
            </w:r>
          </w:p>
        </w:tc>
        <w:tc>
          <w:tcPr>
            <w:tcW w:type="dxa" w:w="3838"/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Anular la solicitud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/v1/webhooks/financieras/{financiera}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Recibir respuestas de financieras</w:t>
            </w:r>
          </w:p>
        </w:tc>
      </w:tr>
    </w:tbl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Supuestos y consideraciones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asume que “BPAC” corresponde a Banco del Pacífico y que el crédito es vehicular, por el giro de negocio de Maresa.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cifras de SLA, cobertura de pruebas y RPO/RTO son referenciales y deben validarse con el área de 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 el alcance académico, las APIs de las financieras pueden simularse con mocks generados desde la especificación OpenAPI, ya que es poco probable obtener acceso a sus sandboxes en el plazo del proyecto.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Página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Fábrica de Crédito – Canal Único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Fábrica de Crédito - Requerimientos</dc:title>
  <dc:creator>Corporación Maresa</dc:creator>
  <cp:lastModifiedBy>Un-named</cp:lastModifiedBy>
  <cp:revision>1</cp:revision>
  <dcterms:created xsi:type="dcterms:W3CDTF">2026-10-09T20:38:33.761Z</dcterms:created>
  <dcterms:modified xsi:type="dcterms:W3CDTF">2026-10-09T20:38:33.761Z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