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Behaviour Driven Development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/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15:04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00:00:23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00:00:03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get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getText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getText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text is successfully retrieved</w:t>
            </w:r>
          </w:p>
        </w:tc>
        <w:tc>
          <w:p>
            <w:r>
              <w:t>Resultado obtained: The text is successfully retrieved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