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D5C" w:rsidRDefault="00D96234">
      <w:pPr>
        <w:spacing w:before="900"/>
        <w:jc w:val="center"/>
        <w:rPr>
          <w:rFonts w:hint="eastAsia"/>
        </w:rPr>
      </w:pPr>
      <w:r>
        <w:rPr>
          <w:b/>
          <w:color w:val="8B0000"/>
          <w:sz w:val="48"/>
        </w:rPr>
        <w:t>UX-101 — Experiencia de Usuario con IA</w:t>
      </w:r>
    </w:p>
    <w:p w:rsidR="00204D5C" w:rsidRDefault="00D96234">
      <w:pPr>
        <w:jc w:val="center"/>
        <w:rPr>
          <w:rFonts w:hint="eastAsia"/>
        </w:rPr>
      </w:pPr>
      <w:r>
        <w:rPr>
          <w:b/>
          <w:color w:val="4B5563"/>
          <w:sz w:val="26"/>
        </w:rPr>
        <w:t>Ficha formal del curso</w:t>
      </w:r>
    </w:p>
    <w:p w:rsidR="00204D5C" w:rsidRDefault="00D96234">
      <w:pPr>
        <w:spacing w:before="700"/>
        <w:jc w:val="center"/>
        <w:rPr>
          <w:rFonts w:hint="eastAsia"/>
        </w:rPr>
      </w:pPr>
      <w:r>
        <w:rPr>
          <w:sz w:val="18"/>
        </w:rPr>
        <w:t>COMSATEL · Programa de Formación de Competencias 2026 · Malla V2</w:t>
      </w:r>
    </w:p>
    <w:p w:rsidR="00204D5C" w:rsidRDefault="00D96234">
      <w:pPr>
        <w:rPr>
          <w:rFonts w:hint="eastAsia"/>
        </w:rPr>
      </w:pPr>
      <w:r>
        <w:br w:type="page"/>
      </w:r>
    </w:p>
    <w:p w:rsidR="00204D5C" w:rsidRDefault="00D96234">
      <w:pPr>
        <w:pStyle w:val="Ttulo1"/>
      </w:pPr>
      <w:r>
        <w:lastRenderedPageBreak/>
        <w:t>1. Identificación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04D5C">
        <w:trPr>
          <w:jc w:val="center"/>
        </w:trPr>
        <w:tc>
          <w:tcPr>
            <w:tcW w:w="5112" w:type="dxa"/>
            <w:shd w:val="clear" w:color="auto" w:fill="8B0000"/>
          </w:tcPr>
          <w:p w:rsidR="00204D5C" w:rsidRDefault="00D9623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5112" w:type="dxa"/>
            <w:shd w:val="clear" w:color="auto" w:fill="8B0000"/>
          </w:tcPr>
          <w:p w:rsidR="00204D5C" w:rsidRDefault="00D9623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Definición</w:t>
            </w:r>
          </w:p>
        </w:tc>
      </w:tr>
      <w:tr w:rsidR="00204D5C">
        <w:trPr>
          <w:jc w:val="center"/>
        </w:trPr>
        <w:tc>
          <w:tcPr>
            <w:tcW w:w="5112" w:type="dxa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Código</w:t>
            </w:r>
          </w:p>
        </w:tc>
        <w:tc>
          <w:tcPr>
            <w:tcW w:w="5112" w:type="dxa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UX-101</w:t>
            </w:r>
          </w:p>
        </w:tc>
      </w:tr>
      <w:tr w:rsidR="00204D5C">
        <w:trPr>
          <w:jc w:val="center"/>
        </w:trPr>
        <w:tc>
          <w:tcPr>
            <w:tcW w:w="5112" w:type="dxa"/>
            <w:shd w:val="clear" w:color="auto" w:fill="F3F4F6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Duración</w:t>
            </w:r>
          </w:p>
        </w:tc>
        <w:tc>
          <w:tcPr>
            <w:tcW w:w="5112" w:type="dxa"/>
            <w:shd w:val="clear" w:color="auto" w:fill="F3F4F6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12 h · 4 sesiones</w:t>
            </w:r>
          </w:p>
        </w:tc>
      </w:tr>
      <w:tr w:rsidR="00204D5C">
        <w:trPr>
          <w:jc w:val="center"/>
        </w:trPr>
        <w:tc>
          <w:tcPr>
            <w:tcW w:w="5112" w:type="dxa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Nivel V2</w:t>
            </w:r>
          </w:p>
        </w:tc>
        <w:tc>
          <w:tcPr>
            <w:tcW w:w="5112" w:type="dxa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UNDERSTAND</w:t>
            </w:r>
          </w:p>
        </w:tc>
      </w:tr>
      <w:tr w:rsidR="00204D5C">
        <w:trPr>
          <w:jc w:val="center"/>
        </w:trPr>
        <w:tc>
          <w:tcPr>
            <w:tcW w:w="5112" w:type="dxa"/>
            <w:shd w:val="clear" w:color="auto" w:fill="F3F4F6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Resultado principal</w:t>
            </w:r>
          </w:p>
        </w:tc>
        <w:tc>
          <w:tcPr>
            <w:tcW w:w="5112" w:type="dxa"/>
            <w:shd w:val="clear" w:color="auto" w:fill="F3F4F6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 xml:space="preserve">UX </w:t>
            </w:r>
            <w:r>
              <w:rPr>
                <w:sz w:val="16"/>
              </w:rPr>
              <w:t>Context Pack</w:t>
            </w:r>
          </w:p>
        </w:tc>
      </w:tr>
      <w:tr w:rsidR="00204D5C">
        <w:trPr>
          <w:jc w:val="center"/>
        </w:trPr>
        <w:tc>
          <w:tcPr>
            <w:tcW w:w="5112" w:type="dxa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Quality Gate</w:t>
            </w:r>
          </w:p>
        </w:tc>
        <w:tc>
          <w:tcPr>
            <w:tcW w:w="5112" w:type="dxa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UX READY FOR SPECIFICATION</w:t>
            </w:r>
          </w:p>
        </w:tc>
      </w:tr>
    </w:tbl>
    <w:p w:rsidR="00204D5C" w:rsidRDefault="00204D5C">
      <w:pPr>
        <w:rPr>
          <w:rFonts w:hint="eastAsia"/>
        </w:rPr>
      </w:pPr>
    </w:p>
    <w:p w:rsidR="00204D5C" w:rsidRDefault="00D96234">
      <w:pPr>
        <w:pStyle w:val="Ttulo1"/>
      </w:pPr>
      <w:r>
        <w:t>2. Objetivo</w:t>
      </w:r>
    </w:p>
    <w:p w:rsidR="00204D5C" w:rsidRDefault="00D96234">
      <w:pPr>
        <w:rPr>
          <w:rFonts w:hint="eastAsia"/>
        </w:rPr>
      </w:pPr>
      <w:r>
        <w:t>Transformar User Stories, reglas de negocio y conocimiento del producto en un UX Context Pack gobernado, diferenciando hechos, requisitos, restricciones, supuestos, hipótesis y preguntas a</w:t>
      </w:r>
      <w:r>
        <w:t>biertas.</w:t>
      </w:r>
    </w:p>
    <w:p w:rsidR="00204D5C" w:rsidRDefault="00D96234">
      <w:pPr>
        <w:pStyle w:val="Ttulo1"/>
      </w:pPr>
      <w:r>
        <w:t>3. Resultado de aprendizaje</w:t>
      </w:r>
    </w:p>
    <w:p w:rsidR="00204D5C" w:rsidRDefault="00D96234">
      <w:pPr>
        <w:rPr>
          <w:rFonts w:hint="eastAsia"/>
        </w:rPr>
      </w:pPr>
      <w:r>
        <w:t>Al finalizar, el participante será capaz de producir y defender un UX Context Pack trazable, verificable y gobernado, utilizando agentes IA sin delegar el juicio profesional.</w:t>
      </w:r>
    </w:p>
    <w:p w:rsidR="00204D5C" w:rsidRDefault="00D96234">
      <w:pPr>
        <w:pStyle w:val="Ttulo1"/>
      </w:pPr>
      <w:r>
        <w:t>4. Principios de trabajo</w:t>
      </w:r>
    </w:p>
    <w:p w:rsidR="00204D5C" w:rsidRDefault="00D96234">
      <w:pPr>
        <w:pStyle w:val="Listaconvietas"/>
        <w:spacing w:after="40"/>
        <w:rPr>
          <w:rFonts w:hint="eastAsia"/>
        </w:rPr>
      </w:pPr>
      <w:r>
        <w:t xml:space="preserve">Context Pack antes </w:t>
      </w:r>
      <w:r>
        <w:t>que prompt aislado.</w:t>
      </w:r>
    </w:p>
    <w:p w:rsidR="00204D5C" w:rsidRDefault="00D96234">
      <w:pPr>
        <w:pStyle w:val="Listaconvietas"/>
        <w:spacing w:after="40"/>
        <w:rPr>
          <w:rFonts w:hint="eastAsia"/>
        </w:rPr>
      </w:pPr>
      <w:r>
        <w:t>Contexto → Intención → Generación → Crítica → Decisión → Registro.</w:t>
      </w:r>
    </w:p>
    <w:p w:rsidR="00204D5C" w:rsidRDefault="00D96234">
      <w:pPr>
        <w:pStyle w:val="Listaconvietas"/>
        <w:spacing w:after="40"/>
        <w:rPr>
          <w:rFonts w:hint="eastAsia"/>
        </w:rPr>
      </w:pPr>
      <w:r>
        <w:t>La decisión y la verificación final son humanas.</w:t>
      </w:r>
    </w:p>
    <w:p w:rsidR="00204D5C" w:rsidRDefault="00D96234">
      <w:pPr>
        <w:pStyle w:val="Listaconvietas"/>
        <w:spacing w:after="40"/>
        <w:rPr>
          <w:rFonts w:hint="eastAsia"/>
        </w:rPr>
      </w:pPr>
      <w:r>
        <w:t>Todo Markdown producido por Skills se integra al bundle OKF v0.2.</w:t>
      </w:r>
    </w:p>
    <w:p w:rsidR="00204D5C" w:rsidRDefault="00D96234">
      <w:pPr>
        <w:pStyle w:val="Ttulo1"/>
      </w:pPr>
      <w:r>
        <w:t>5. Sesiones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977"/>
        <w:gridCol w:w="4124"/>
        <w:gridCol w:w="2556"/>
      </w:tblGrid>
      <w:tr w:rsidR="00204D5C" w:rsidTr="00D96234">
        <w:trPr>
          <w:jc w:val="center"/>
        </w:trPr>
        <w:tc>
          <w:tcPr>
            <w:tcW w:w="567" w:type="dxa"/>
            <w:shd w:val="clear" w:color="auto" w:fill="8B0000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977" w:type="dxa"/>
            <w:shd w:val="clear" w:color="auto" w:fill="8B0000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w="4124" w:type="dxa"/>
            <w:shd w:val="clear" w:color="auto" w:fill="8B0000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w="2556" w:type="dxa"/>
            <w:shd w:val="clear" w:color="auto" w:fill="8B0000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Práctica</w:t>
            </w:r>
          </w:p>
        </w:tc>
      </w:tr>
      <w:tr w:rsidR="00204D5C" w:rsidTr="00D96234">
        <w:trPr>
          <w:jc w:val="center"/>
        </w:trPr>
        <w:tc>
          <w:tcPr>
            <w:tcW w:w="567" w:type="dxa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S1</w:t>
            </w:r>
          </w:p>
        </w:tc>
        <w:tc>
          <w:tcPr>
            <w:tcW w:w="2977" w:type="dxa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 xml:space="preserve">UX en un </w:t>
            </w:r>
            <w:r>
              <w:rPr>
                <w:sz w:val="16"/>
              </w:rPr>
              <w:t>SDLC Agentic</w:t>
            </w:r>
          </w:p>
        </w:tc>
        <w:tc>
          <w:tcPr>
            <w:tcW w:w="4124" w:type="dxa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Modelo Diseñador ↔ Agente ↔ Artefacto; Human-in-the-Loop; OKF v0.2</w:t>
            </w:r>
          </w:p>
        </w:tc>
        <w:tc>
          <w:tcPr>
            <w:tcW w:w="2556" w:type="dxa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Crear el bu</w:t>
            </w:r>
            <w:bookmarkStart w:id="0" w:name="_GoBack"/>
            <w:bookmarkEnd w:id="0"/>
            <w:r>
              <w:rPr>
                <w:sz w:val="16"/>
              </w:rPr>
              <w:t>ndle inicial del caso.</w:t>
            </w:r>
          </w:p>
        </w:tc>
      </w:tr>
      <w:tr w:rsidR="00204D5C" w:rsidTr="00D96234">
        <w:trPr>
          <w:jc w:val="center"/>
        </w:trPr>
        <w:tc>
          <w:tcPr>
            <w:tcW w:w="567" w:type="dxa"/>
            <w:shd w:val="clear" w:color="auto" w:fill="F3F4F6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S2</w:t>
            </w:r>
          </w:p>
        </w:tc>
        <w:tc>
          <w:tcPr>
            <w:tcW w:w="2977" w:type="dxa"/>
            <w:shd w:val="clear" w:color="auto" w:fill="F3F4F6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Necesidades, JTBD y UX Requirements</w:t>
            </w:r>
          </w:p>
        </w:tc>
        <w:tc>
          <w:tcPr>
            <w:tcW w:w="4124" w:type="dxa"/>
            <w:shd w:val="clear" w:color="auto" w:fill="F3F4F6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Actores, tareas, JTBD, hechos, supuestos y preguntas</w:t>
            </w:r>
          </w:p>
        </w:tc>
        <w:tc>
          <w:tcPr>
            <w:tcW w:w="2556" w:type="dxa"/>
            <w:shd w:val="clear" w:color="auto" w:fill="F3F4F6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US → UXR con ux-requirements-analyzer.</w:t>
            </w:r>
          </w:p>
        </w:tc>
      </w:tr>
      <w:tr w:rsidR="00204D5C" w:rsidTr="00D96234">
        <w:trPr>
          <w:jc w:val="center"/>
        </w:trPr>
        <w:tc>
          <w:tcPr>
            <w:tcW w:w="567" w:type="dxa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S3</w:t>
            </w:r>
          </w:p>
        </w:tc>
        <w:tc>
          <w:tcPr>
            <w:tcW w:w="2977" w:type="dxa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Journeys y User Flows</w:t>
            </w:r>
          </w:p>
        </w:tc>
        <w:tc>
          <w:tcPr>
            <w:tcW w:w="4124" w:type="dxa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Happy path, excepciones, permisos, errores</w:t>
            </w:r>
          </w:p>
        </w:tc>
        <w:tc>
          <w:tcPr>
            <w:tcW w:w="2556" w:type="dxa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UXR → FLW con user-flow-designer.</w:t>
            </w:r>
          </w:p>
        </w:tc>
      </w:tr>
      <w:tr w:rsidR="00204D5C" w:rsidTr="00D96234">
        <w:trPr>
          <w:jc w:val="center"/>
        </w:trPr>
        <w:tc>
          <w:tcPr>
            <w:tcW w:w="567" w:type="dxa"/>
            <w:shd w:val="clear" w:color="auto" w:fill="F3F4F6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S4</w:t>
            </w:r>
          </w:p>
        </w:tc>
        <w:tc>
          <w:tcPr>
            <w:tcW w:w="2977" w:type="dxa"/>
            <w:shd w:val="clear" w:color="auto" w:fill="F3F4F6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Context Engineering para UX</w:t>
            </w:r>
          </w:p>
        </w:tc>
        <w:tc>
          <w:tcPr>
            <w:tcW w:w="4124" w:type="dxa"/>
            <w:shd w:val="clear" w:color="auto" w:fill="F3F4F6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Glosario, restricciones, preguntas abiertas, provenance</w:t>
            </w:r>
          </w:p>
        </w:tc>
        <w:tc>
          <w:tcPr>
            <w:tcW w:w="2556" w:type="dxa"/>
            <w:shd w:val="clear" w:color="auto" w:fill="F3F4F6"/>
            <w:vAlign w:val="center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Cerrar y defender el UX Context Pack ante AF.</w:t>
            </w:r>
          </w:p>
        </w:tc>
      </w:tr>
    </w:tbl>
    <w:p w:rsidR="00204D5C" w:rsidRDefault="00204D5C">
      <w:pPr>
        <w:rPr>
          <w:rFonts w:hint="eastAsia"/>
        </w:rPr>
      </w:pPr>
    </w:p>
    <w:p w:rsidR="00204D5C" w:rsidRDefault="00D96234">
      <w:pPr>
        <w:pStyle w:val="Ttulo1"/>
      </w:pPr>
      <w:r>
        <w:t xml:space="preserve">6. Laboratorio </w:t>
      </w:r>
      <w:r>
        <w:t>integrador</w:t>
      </w:r>
    </w:p>
    <w:p w:rsidR="00204D5C" w:rsidRDefault="00D96234">
      <w:pPr>
        <w:rPr>
          <w:rFonts w:hint="eastAsia"/>
        </w:rPr>
      </w:pPr>
      <w:r>
        <w:t>Construir el contexto UX completo desde 3–5 User Stories refinadas por AF.</w:t>
      </w:r>
    </w:p>
    <w:p w:rsidR="00204D5C" w:rsidRDefault="00D96234">
      <w:pPr>
        <w:pStyle w:val="Ttulo1"/>
      </w:pPr>
      <w:r>
        <w:t>7. Skill Package</w:t>
      </w:r>
    </w:p>
    <w:p w:rsidR="00204D5C" w:rsidRDefault="00D96234">
      <w:pPr>
        <w:pStyle w:val="Listaconvietas"/>
        <w:spacing w:after="40"/>
        <w:rPr>
          <w:rFonts w:hint="eastAsia"/>
        </w:rPr>
      </w:pPr>
      <w:r>
        <w:t>ux-requirements-analyzer</w:t>
      </w:r>
    </w:p>
    <w:p w:rsidR="00204D5C" w:rsidRDefault="00D96234">
      <w:pPr>
        <w:pStyle w:val="Listaconvietas"/>
        <w:spacing w:after="40"/>
        <w:rPr>
          <w:rFonts w:hint="eastAsia"/>
        </w:rPr>
      </w:pPr>
      <w:r>
        <w:t>user-flow-designer</w:t>
      </w:r>
    </w:p>
    <w:p w:rsidR="00204D5C" w:rsidRDefault="00D96234">
      <w:pPr>
        <w:pStyle w:val="Ttulo1"/>
      </w:pPr>
      <w:r>
        <w:t>8.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04D5C">
        <w:trPr>
          <w:jc w:val="center"/>
        </w:trPr>
        <w:tc>
          <w:tcPr>
            <w:tcW w:w="5112" w:type="dxa"/>
            <w:shd w:val="clear" w:color="auto" w:fill="8B0000"/>
          </w:tcPr>
          <w:p w:rsidR="00204D5C" w:rsidRDefault="00D9623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Dimensión</w:t>
            </w:r>
          </w:p>
        </w:tc>
        <w:tc>
          <w:tcPr>
            <w:tcW w:w="5112" w:type="dxa"/>
            <w:shd w:val="clear" w:color="auto" w:fill="8B0000"/>
          </w:tcPr>
          <w:p w:rsidR="00204D5C" w:rsidRDefault="00D9623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Peso</w:t>
            </w:r>
          </w:p>
        </w:tc>
      </w:tr>
      <w:tr w:rsidR="00204D5C">
        <w:trPr>
          <w:jc w:val="center"/>
        </w:trPr>
        <w:tc>
          <w:tcPr>
            <w:tcW w:w="5112" w:type="dxa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Trazabilidad y completitud</w:t>
            </w:r>
          </w:p>
        </w:tc>
        <w:tc>
          <w:tcPr>
            <w:tcW w:w="5112" w:type="dxa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25%</w:t>
            </w:r>
          </w:p>
        </w:tc>
      </w:tr>
      <w:tr w:rsidR="00204D5C">
        <w:trPr>
          <w:jc w:val="center"/>
        </w:trPr>
        <w:tc>
          <w:tcPr>
            <w:tcW w:w="5112" w:type="dxa"/>
            <w:shd w:val="clear" w:color="auto" w:fill="F3F4F6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Calidad de decisiones / especificación</w:t>
            </w:r>
          </w:p>
        </w:tc>
        <w:tc>
          <w:tcPr>
            <w:tcW w:w="5112" w:type="dxa"/>
            <w:shd w:val="clear" w:color="auto" w:fill="F3F4F6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25%</w:t>
            </w:r>
          </w:p>
        </w:tc>
      </w:tr>
      <w:tr w:rsidR="00204D5C">
        <w:trPr>
          <w:jc w:val="center"/>
        </w:trPr>
        <w:tc>
          <w:tcPr>
            <w:tcW w:w="5112" w:type="dxa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Uso</w:t>
            </w:r>
            <w:r>
              <w:rPr>
                <w:sz w:val="16"/>
              </w:rPr>
              <w:t xml:space="preserve"> responsable del agente y provenance</w:t>
            </w:r>
          </w:p>
        </w:tc>
        <w:tc>
          <w:tcPr>
            <w:tcW w:w="5112" w:type="dxa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20%</w:t>
            </w:r>
          </w:p>
        </w:tc>
      </w:tr>
      <w:tr w:rsidR="00204D5C">
        <w:trPr>
          <w:jc w:val="center"/>
        </w:trPr>
        <w:tc>
          <w:tcPr>
            <w:tcW w:w="5112" w:type="dxa"/>
            <w:shd w:val="clear" w:color="auto" w:fill="F3F4F6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Calidad técnica / accesibilidad</w:t>
            </w:r>
          </w:p>
        </w:tc>
        <w:tc>
          <w:tcPr>
            <w:tcW w:w="5112" w:type="dxa"/>
            <w:shd w:val="clear" w:color="auto" w:fill="F3F4F6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20%</w:t>
            </w:r>
          </w:p>
        </w:tc>
      </w:tr>
      <w:tr w:rsidR="00204D5C">
        <w:trPr>
          <w:jc w:val="center"/>
        </w:trPr>
        <w:tc>
          <w:tcPr>
            <w:tcW w:w="5112" w:type="dxa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Defensa y revisión humana</w:t>
            </w:r>
          </w:p>
        </w:tc>
        <w:tc>
          <w:tcPr>
            <w:tcW w:w="5112" w:type="dxa"/>
          </w:tcPr>
          <w:p w:rsidR="00204D5C" w:rsidRDefault="00D96234">
            <w:pPr>
              <w:rPr>
                <w:rFonts w:hint="eastAsia"/>
              </w:rPr>
            </w:pPr>
            <w:r>
              <w:rPr>
                <w:sz w:val="16"/>
              </w:rPr>
              <w:t>10%</w:t>
            </w:r>
          </w:p>
        </w:tc>
      </w:tr>
    </w:tbl>
    <w:p w:rsidR="00204D5C" w:rsidRDefault="00204D5C">
      <w:pPr>
        <w:rPr>
          <w:rFonts w:hint="eastAsia"/>
        </w:rPr>
      </w:pPr>
    </w:p>
    <w:p w:rsidR="00204D5C" w:rsidRDefault="00D96234">
      <w:pPr>
        <w:pStyle w:val="Ttulo1"/>
      </w:pPr>
      <w:r>
        <w:t>9. Criterios de aprobación</w:t>
      </w:r>
    </w:p>
    <w:p w:rsidR="00204D5C" w:rsidRDefault="00D96234">
      <w:pPr>
        <w:pStyle w:val="Listaconvietas"/>
        <w:spacing w:after="40"/>
        <w:rPr>
          <w:rFonts w:hint="eastAsia"/>
        </w:rPr>
      </w:pPr>
      <w:r>
        <w:t>Superar el Quality Gate UX READY FOR SPECIFICATION.</w:t>
      </w:r>
    </w:p>
    <w:p w:rsidR="00204D5C" w:rsidRDefault="00D96234">
      <w:pPr>
        <w:pStyle w:val="Listaconvietas"/>
        <w:spacing w:after="40"/>
        <w:rPr>
          <w:rFonts w:hint="eastAsia"/>
        </w:rPr>
      </w:pPr>
      <w:r>
        <w:t>No mantener hallazgos críticos abiertos.</w:t>
      </w:r>
    </w:p>
    <w:p w:rsidR="00204D5C" w:rsidRDefault="00D96234">
      <w:pPr>
        <w:pStyle w:val="Listaconvietas"/>
        <w:spacing w:after="40"/>
        <w:rPr>
          <w:rFonts w:hint="eastAsia"/>
        </w:rPr>
      </w:pPr>
      <w:r>
        <w:t xml:space="preserve">Artefactos entregables </w:t>
      </w:r>
      <w:r>
        <w:t>con trazabilidad hacia sus fuentes.</w:t>
      </w:r>
    </w:p>
    <w:p w:rsidR="00204D5C" w:rsidRDefault="00D96234">
      <w:pPr>
        <w:pStyle w:val="Listaconvietas"/>
        <w:spacing w:after="40"/>
        <w:rPr>
          <w:rFonts w:hint="eastAsia"/>
        </w:rPr>
      </w:pPr>
      <w:r>
        <w:t>Revisión humana explícita antes de promover artefactos a stable.</w:t>
      </w:r>
    </w:p>
    <w:p w:rsidR="00204D5C" w:rsidRDefault="00D96234">
      <w:pPr>
        <w:pStyle w:val="Ttulo1"/>
      </w:pPr>
      <w:r>
        <w:t>10. Entradas y salidas</w:t>
      </w:r>
    </w:p>
    <w:p w:rsidR="00204D5C" w:rsidRDefault="00D96234">
      <w:pPr>
        <w:rPr>
          <w:rFonts w:hint="eastAsia"/>
        </w:rPr>
      </w:pPr>
      <w:r>
        <w:t xml:space="preserve">Salida canónica: UX Context Pack. La entrada se toma del curso anterior o, en los laboratorios tecnológicos, de la UI Specification </w:t>
      </w:r>
      <w:r>
        <w:t>canónica de UX-102.</w:t>
      </w:r>
    </w:p>
    <w:sectPr w:rsidR="00204D5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D5C"/>
    <w:rsid w:val="0029639D"/>
    <w:rsid w:val="00326F90"/>
    <w:rsid w:val="00AA1D8D"/>
    <w:rsid w:val="00B47730"/>
    <w:rsid w:val="00CB0664"/>
    <w:rsid w:val="00D962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7BF1089D-C67E-4B61-9CC8-E3C17AFC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B0000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B5563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265B7C-2C7C-4CA1-AFF3-52D3EC56B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Ilver Anache</cp:lastModifiedBy>
  <cp:revision>3</cp:revision>
  <dcterms:created xsi:type="dcterms:W3CDTF">2013-12-23T23:15:00Z</dcterms:created>
  <dcterms:modified xsi:type="dcterms:W3CDTF">2026-09-26T21:13:00Z</dcterms:modified>
  <cp:category/>
</cp:coreProperties>
</file>