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0DDF" w:rsidRDefault="0096091E">
      <w:pPr>
        <w:spacing w:before="900"/>
        <w:jc w:val="center"/>
        <w:rPr>
          <w:rFonts w:hint="eastAsia"/>
        </w:rPr>
      </w:pPr>
      <w:r>
        <w:rPr>
          <w:b/>
          <w:color w:val="8B0000"/>
          <w:sz w:val="48"/>
        </w:rPr>
        <w:t>Guía de Laboratorio — UX-101</w:t>
      </w:r>
    </w:p>
    <w:p w:rsidR="00330DDF" w:rsidRDefault="0096091E">
      <w:pPr>
        <w:jc w:val="center"/>
        <w:rPr>
          <w:rFonts w:hint="eastAsia"/>
        </w:rPr>
      </w:pPr>
      <w:r>
        <w:rPr>
          <w:b/>
          <w:color w:val="4B5563"/>
          <w:sz w:val="26"/>
        </w:rPr>
        <w:t>Experiencia de Usuario con IA</w:t>
      </w:r>
    </w:p>
    <w:p w:rsidR="00330DDF" w:rsidRDefault="0096091E">
      <w:pPr>
        <w:spacing w:before="700"/>
        <w:jc w:val="center"/>
        <w:rPr>
          <w:rFonts w:hint="eastAsia"/>
        </w:rPr>
      </w:pPr>
      <w:r>
        <w:rPr>
          <w:sz w:val="18"/>
        </w:rPr>
        <w:t>COMSATEL · Programa de Formación de Competencias 2026 · Malla V2</w:t>
      </w:r>
    </w:p>
    <w:p w:rsidR="00330DDF" w:rsidRDefault="0096091E">
      <w:pPr>
        <w:rPr>
          <w:rFonts w:hint="eastAsia"/>
        </w:rPr>
      </w:pPr>
      <w:r>
        <w:br w:type="page"/>
      </w:r>
    </w:p>
    <w:p w:rsidR="00330DDF" w:rsidRDefault="0096091E">
      <w:pPr>
        <w:pStyle w:val="Ttulo1"/>
      </w:pPr>
      <w:r>
        <w:lastRenderedPageBreak/>
        <w:t>1. Propósito</w:t>
      </w:r>
    </w:p>
    <w:p w:rsidR="00330DDF" w:rsidRDefault="0096091E">
      <w:pPr>
        <w:rPr>
          <w:rFonts w:hint="eastAsia"/>
        </w:rPr>
      </w:pPr>
      <w:r>
        <w:t>Construir el contexto UX completo desde 3–5 User Stories refinadas por AF.</w:t>
      </w:r>
    </w:p>
    <w:p w:rsidR="00330DDF" w:rsidRDefault="0096091E">
      <w:pPr>
        <w:pStyle w:val="Ttulo1"/>
      </w:pPr>
      <w:r>
        <w:t>2. Caso común</w:t>
      </w:r>
    </w:p>
    <w:p w:rsidR="00330DDF" w:rsidRDefault="0096091E">
      <w:pPr>
        <w:rPr>
          <w:rFonts w:hint="eastAsia"/>
        </w:rPr>
      </w:pPr>
      <w:r>
        <w:t xml:space="preserve">Caso transversal: flujo de </w:t>
      </w:r>
      <w:r>
        <w:t>un producto COMSATEL con 3–5 User Stories refinadas, 6–10 pantallas, permisos por rol, estados de error y versiones mobile/desktop. Los datos usados en herramientas externas deben estar anonimizados.</w:t>
      </w:r>
    </w:p>
    <w:p w:rsidR="00330DDF" w:rsidRDefault="0096091E">
      <w:pPr>
        <w:pStyle w:val="Ttulo1"/>
      </w:pPr>
      <w:r>
        <w:t>3. Precondiciones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Repositorio/bundle de laboratorio disp</w:t>
      </w:r>
      <w:r>
        <w:t>onible.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Acceso a las herramientas requeridas para el curso.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Design System o guía visual vigente.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Artefactos del curso precedente disponibles y revisados.</w:t>
      </w:r>
    </w:p>
    <w:p w:rsidR="00330DDF" w:rsidRDefault="0096091E">
      <w:pPr>
        <w:pStyle w:val="Ttulo1"/>
      </w:pPr>
      <w:r>
        <w:t>4. Entradas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User Stories refinadas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Reglas de negocio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Capturas/referencias del producto</w:t>
      </w:r>
    </w:p>
    <w:p w:rsidR="00330DDF" w:rsidRDefault="0096091E">
      <w:pPr>
        <w:pStyle w:val="Ttulo1"/>
      </w:pPr>
      <w:r>
        <w:t>5. Desarrollo p</w:t>
      </w:r>
      <w:r>
        <w:t>aso a paso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4252"/>
        <w:gridCol w:w="4979"/>
      </w:tblGrid>
      <w:tr w:rsidR="00330DDF" w:rsidRPr="0096091E" w:rsidTr="0096091E">
        <w:trPr>
          <w:jc w:val="center"/>
        </w:trPr>
        <w:tc>
          <w:tcPr>
            <w:tcW w:w="993" w:type="dxa"/>
            <w:shd w:val="clear" w:color="auto" w:fill="8B0000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4252" w:type="dxa"/>
            <w:shd w:val="clear" w:color="auto" w:fill="8B0000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4979" w:type="dxa"/>
            <w:shd w:val="clear" w:color="auto" w:fill="8B0000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b/>
                <w:color w:val="FFFFFF"/>
                <w:sz w:val="20"/>
              </w:rPr>
              <w:t>Evidencia</w:t>
            </w:r>
          </w:p>
        </w:tc>
      </w:tr>
      <w:tr w:rsidR="00330DDF" w:rsidRPr="0096091E" w:rsidTr="0096091E">
        <w:trPr>
          <w:jc w:val="center"/>
        </w:trPr>
        <w:tc>
          <w:tcPr>
            <w:tcW w:w="993" w:type="dxa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S1</w:t>
            </w:r>
          </w:p>
        </w:tc>
        <w:tc>
          <w:tcPr>
            <w:tcW w:w="4252" w:type="dxa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Crear el bundle inicial del caso.</w:t>
            </w:r>
          </w:p>
        </w:tc>
        <w:tc>
          <w:tcPr>
            <w:tcW w:w="4979" w:type="dxa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UX en un SDLC Agentic</w:t>
            </w:r>
          </w:p>
        </w:tc>
      </w:tr>
      <w:tr w:rsidR="00330DDF" w:rsidRPr="0096091E" w:rsidTr="0096091E">
        <w:trPr>
          <w:jc w:val="center"/>
        </w:trPr>
        <w:tc>
          <w:tcPr>
            <w:tcW w:w="993" w:type="dxa"/>
            <w:shd w:val="clear" w:color="auto" w:fill="F3F4F6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S2</w:t>
            </w:r>
          </w:p>
        </w:tc>
        <w:tc>
          <w:tcPr>
            <w:tcW w:w="4252" w:type="dxa"/>
            <w:shd w:val="clear" w:color="auto" w:fill="F3F4F6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US → UXR con ux-requirements-analyzer.</w:t>
            </w:r>
            <w:bookmarkStart w:id="0" w:name="_GoBack"/>
            <w:bookmarkEnd w:id="0"/>
          </w:p>
        </w:tc>
        <w:tc>
          <w:tcPr>
            <w:tcW w:w="4979" w:type="dxa"/>
            <w:shd w:val="clear" w:color="auto" w:fill="F3F4F6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Necesidades, JTBD y UX Requirements</w:t>
            </w:r>
          </w:p>
        </w:tc>
      </w:tr>
      <w:tr w:rsidR="00330DDF" w:rsidRPr="0096091E" w:rsidTr="0096091E">
        <w:trPr>
          <w:jc w:val="center"/>
        </w:trPr>
        <w:tc>
          <w:tcPr>
            <w:tcW w:w="993" w:type="dxa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S3</w:t>
            </w:r>
          </w:p>
        </w:tc>
        <w:tc>
          <w:tcPr>
            <w:tcW w:w="4252" w:type="dxa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UXR → FLW con user-flow-designer.</w:t>
            </w:r>
          </w:p>
        </w:tc>
        <w:tc>
          <w:tcPr>
            <w:tcW w:w="4979" w:type="dxa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Journeys y User Flows</w:t>
            </w:r>
          </w:p>
        </w:tc>
      </w:tr>
      <w:tr w:rsidR="00330DDF" w:rsidRPr="0096091E" w:rsidTr="0096091E">
        <w:trPr>
          <w:jc w:val="center"/>
        </w:trPr>
        <w:tc>
          <w:tcPr>
            <w:tcW w:w="993" w:type="dxa"/>
            <w:shd w:val="clear" w:color="auto" w:fill="F3F4F6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S4</w:t>
            </w:r>
          </w:p>
        </w:tc>
        <w:tc>
          <w:tcPr>
            <w:tcW w:w="4252" w:type="dxa"/>
            <w:shd w:val="clear" w:color="auto" w:fill="F3F4F6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Cerrar y defender</w:t>
            </w:r>
            <w:r w:rsidRPr="0096091E">
              <w:rPr>
                <w:sz w:val="20"/>
              </w:rPr>
              <w:t xml:space="preserve"> el UX Context Pack ante AF.</w:t>
            </w:r>
          </w:p>
        </w:tc>
        <w:tc>
          <w:tcPr>
            <w:tcW w:w="4979" w:type="dxa"/>
            <w:shd w:val="clear" w:color="auto" w:fill="F3F4F6"/>
          </w:tcPr>
          <w:p w:rsidR="00330DDF" w:rsidRPr="0096091E" w:rsidRDefault="0096091E">
            <w:pPr>
              <w:rPr>
                <w:rFonts w:hint="eastAsia"/>
                <w:sz w:val="20"/>
              </w:rPr>
            </w:pPr>
            <w:r w:rsidRPr="0096091E">
              <w:rPr>
                <w:sz w:val="20"/>
              </w:rPr>
              <w:t>Context Engineering para UX</w:t>
            </w:r>
          </w:p>
        </w:tc>
      </w:tr>
    </w:tbl>
    <w:p w:rsidR="00330DDF" w:rsidRDefault="00330DDF">
      <w:pPr>
        <w:rPr>
          <w:rFonts w:hint="eastAsia"/>
        </w:rPr>
      </w:pPr>
    </w:p>
    <w:p w:rsidR="00330DDF" w:rsidRDefault="0096091E">
      <w:pPr>
        <w:pStyle w:val="Ttulo1"/>
      </w:pPr>
      <w:r>
        <w:t>6. Uso de Skills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ux-requirements-analyzer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user-flow-designer</w:t>
      </w:r>
    </w:p>
    <w:p w:rsidR="00330DDF" w:rsidRDefault="0096091E">
      <w:pPr>
        <w:pStyle w:val="Ttulo1"/>
      </w:pPr>
      <w:r>
        <w:t>7. Evidencias obligatorias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UX Context Pack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log.md actualizado con provenance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Artefactos OKF creados/actualizados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Decisiones humanas regi</w:t>
      </w:r>
      <w:r>
        <w:t>stradas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Reporte de revisión/calidad correspondiente</w:t>
      </w:r>
    </w:p>
    <w:p w:rsidR="00330DDF" w:rsidRDefault="0096091E">
      <w:pPr>
        <w:pStyle w:val="Ttulo1"/>
      </w:pPr>
      <w:r>
        <w:t>8. Quality Gate</w:t>
      </w:r>
    </w:p>
    <w:p w:rsidR="00330DDF" w:rsidRDefault="0096091E">
      <w:pPr>
        <w:rPr>
          <w:rFonts w:hint="eastAsia"/>
        </w:rPr>
      </w:pPr>
      <w:r>
        <w:rPr>
          <w:b/>
          <w:color w:val="8B0000"/>
        </w:rPr>
        <w:t>UX READY FOR SPECIFICATION</w:t>
      </w:r>
    </w:p>
    <w:p w:rsidR="00330DDF" w:rsidRDefault="0096091E">
      <w:pPr>
        <w:rPr>
          <w:rFonts w:hint="eastAsia"/>
        </w:rPr>
      </w:pPr>
      <w:r>
        <w:t>El participante no cierra el laboratorio hasta demostrar el gate con evidencia reproducible.</w:t>
      </w:r>
    </w:p>
    <w:p w:rsidR="00330DDF" w:rsidRDefault="0096091E">
      <w:pPr>
        <w:pStyle w:val="Ttulo1"/>
      </w:pPr>
      <w:r>
        <w:lastRenderedPageBreak/>
        <w:t>9. Checklist del participante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¿Usé el Context Pack correcto?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¿Separé</w:t>
      </w:r>
      <w:r>
        <w:t xml:space="preserve"> hechos, supuestos y decisiones?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¿Puedo reproducir lo generado?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¿Registré provenance?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¿Existe trazabilidad hacia US/UXR/FLW/SCR/CMP/AC según corresponda?</w:t>
      </w:r>
    </w:p>
    <w:p w:rsidR="00330DDF" w:rsidRDefault="0096091E">
      <w:pPr>
        <w:pStyle w:val="Listaconvietas"/>
        <w:spacing w:after="40"/>
        <w:rPr>
          <w:rFonts w:hint="eastAsia"/>
        </w:rPr>
      </w:pPr>
      <w:r>
        <w:t>¿La decisión final fue revisada por una persona?</w:t>
      </w:r>
    </w:p>
    <w:p w:rsidR="00330DDF" w:rsidRDefault="0096091E">
      <w:pPr>
        <w:pStyle w:val="Ttulo1"/>
      </w:pPr>
      <w:r>
        <w:t>10. Entrega</w:t>
      </w:r>
    </w:p>
    <w:p w:rsidR="00330DDF" w:rsidRDefault="0096091E">
      <w:pPr>
        <w:rPr>
          <w:rFonts w:hint="eastAsia"/>
        </w:rPr>
      </w:pPr>
      <w:r>
        <w:t xml:space="preserve">Entregar UX Context Pack más el bundle </w:t>
      </w:r>
      <w:r>
        <w:t>OKF actualizado. La evidencia visual o export de la herramienta se almacena como referencia; no sustituye los conceptos canónicos.</w:t>
      </w:r>
    </w:p>
    <w:sectPr w:rsidR="00330DD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DDF"/>
    <w:rsid w:val="009609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B0EDEAA1-05C9-46ED-BA66-263DDB23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B0000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B5563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7850F-A421-4AEB-B402-4F3C18E4A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Ilver Anache</cp:lastModifiedBy>
  <cp:revision>3</cp:revision>
  <dcterms:created xsi:type="dcterms:W3CDTF">2013-12-23T23:15:00Z</dcterms:created>
  <dcterms:modified xsi:type="dcterms:W3CDTF">2026-09-26T21:15:00Z</dcterms:modified>
  <cp:category/>
</cp:coreProperties>
</file>