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UX-102 — Diseño de Interfaces con IA</w:t>
      </w:r>
    </w:p>
    <w:p>
      <w:pPr>
        <w:jc w:val="center"/>
      </w:pPr>
      <w:r>
        <w:rPr>
          <w:b/>
          <w:color w:val="4B5563"/>
          <w:sz w:val="26"/>
        </w:rPr>
        <w:t>Ficha formal del curso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UX-102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Duración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12 h · 4 sesiones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Nivel V2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SPECIFY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Resultado principal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UI Specification v1.0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 Gate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UI READY FOR EXPLORATION</w:t>
            </w:r>
          </w:p>
        </w:tc>
      </w:tr>
    </w:tbl>
    <w:p/>
    <w:p>
      <w:pPr>
        <w:pStyle w:val="Heading1"/>
      </w:pPr>
      <w:r>
        <w:t>2. Objetivo</w:t>
      </w:r>
    </w:p>
    <w:p>
      <w:r>
        <w:t>Transformar el UX Context Pack en una UI Specification independiente de herramienta, con pantallas, estados, componentes, tokens y criterios de aceptación verificables.</w:t>
      </w:r>
    </w:p>
    <w:p>
      <w:pPr>
        <w:pStyle w:val="Heading1"/>
      </w:pPr>
      <w:r>
        <w:t>3. Resultado de aprendizaje</w:t>
      </w:r>
    </w:p>
    <w:p>
      <w:r>
        <w:t>Al finalizar, el participante será capaz de producir y defender un UI Specification v1.0 trazable, verificable y gobernado, utilizando agentes IA sin delegar el juicio profesional.</w:t>
      </w:r>
    </w:p>
    <w:p>
      <w:pPr>
        <w:pStyle w:val="Heading1"/>
      </w:pPr>
      <w:r>
        <w:t>4. Principios de trabajo</w:t>
      </w:r>
    </w:p>
    <w:p>
      <w:pPr>
        <w:pStyle w:val="ListBullet"/>
        <w:spacing w:after="40"/>
      </w:pPr>
      <w:r>
        <w:t>Context Pack antes que prompt aislado.</w:t>
      </w:r>
    </w:p>
    <w:p>
      <w:pPr>
        <w:pStyle w:val="ListBullet"/>
        <w:spacing w:after="40"/>
      </w:pPr>
      <w:r>
        <w:t>Contexto → Intención → Generación → Crítica → Decisión → Registro.</w:t>
      </w:r>
    </w:p>
    <w:p>
      <w:pPr>
        <w:pStyle w:val="ListBullet"/>
        <w:spacing w:after="40"/>
      </w:pPr>
      <w:r>
        <w:t>La decisión y la verificación final son humanas.</w:t>
      </w:r>
    </w:p>
    <w:p>
      <w:pPr>
        <w:pStyle w:val="ListBullet"/>
        <w:spacing w:after="40"/>
      </w:pPr>
      <w:r>
        <w:t>Todo Markdown producido por Skills se integra al bundle OKF v0.2.</w:t>
      </w:r>
    </w:p>
    <w:p>
      <w:pPr>
        <w:pStyle w:val="Heading1"/>
      </w:pPr>
      <w:r>
        <w:t>5.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556"/>
            <w:shd w:fill="8B0000"/>
          </w:tcPr>
          <w:p>
            <w:r>
              <w:rPr>
                <w:b/>
                <w:color w:val="FFFFFF"/>
                <w:sz w:val="16"/>
              </w:rPr>
              <w:t>Práctica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Information Architecture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Navegación, inventario y responsabilidad de pantallas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FLW → SCR.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Interaction &amp; State Design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default, loading, empty, success, validation-error, system-error, no-permission, offline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Matriz Screen × State.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Design System &amp; Tokens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Atomic Design; tokens primitivos y semánticos; componentes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SCR → CMP + TKN.</w:t>
            </w:r>
          </w:p>
        </w:tc>
      </w:tr>
      <w:tr>
        <w:tc>
          <w:tcPr>
            <w:tcW w:type="dxa" w:w="2556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UX Quality Contract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WCAG 2.2 AA, heurísticas y AC verificables</w:t>
            </w:r>
          </w:p>
        </w:tc>
        <w:tc>
          <w:tcPr>
            <w:tcW w:type="dxa" w:w="2556"/>
            <w:shd w:fill="F3F4F6"/>
          </w:tcPr>
          <w:p>
            <w:r>
              <w:rPr>
                <w:sz w:val="16"/>
              </w:rPr>
              <w:t>Accessibility review + AC en Given/When/Then.</w:t>
            </w:r>
          </w:p>
        </w:tc>
      </w:tr>
    </w:tbl>
    <w:p/>
    <w:p>
      <w:pPr>
        <w:pStyle w:val="Heading1"/>
      </w:pPr>
      <w:r>
        <w:t>6. Laboratorio integrador</w:t>
      </w:r>
    </w:p>
    <w:p>
      <w:r>
        <w:t>Producir la especificación canónica que será la entrada idéntica para los laboratorios tecnológicos.</w:t>
      </w:r>
    </w:p>
    <w:p>
      <w:pPr>
        <w:pStyle w:val="Heading1"/>
      </w:pPr>
      <w:r>
        <w:t>7. Skill Package</w:t>
      </w:r>
    </w:p>
    <w:p>
      <w:pPr>
        <w:pStyle w:val="ListBullet"/>
        <w:spacing w:after="40"/>
      </w:pPr>
      <w:r>
        <w:t>ui-spec-writer</w:t>
      </w:r>
    </w:p>
    <w:p>
      <w:pPr>
        <w:pStyle w:val="ListBullet"/>
        <w:spacing w:after="40"/>
      </w:pPr>
      <w:r>
        <w:t>accessibility-reviewer</w:t>
      </w:r>
    </w:p>
    <w:p>
      <w:pPr>
        <w:pStyle w:val="Heading1"/>
      </w:pPr>
      <w:r>
        <w:t>8.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5112"/>
            <w:shd w:fill="8B0000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Trazabilidad y completitud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de decisiones / especificación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25%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Uso responsable del agente y provenance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  <w:shd w:fill="F3F4F6"/>
          </w:tcPr>
          <w:p>
            <w:r>
              <w:rPr>
                <w:sz w:val="16"/>
              </w:rPr>
              <w:t>Calidad técnica / accesibilidad</w:t>
            </w:r>
          </w:p>
        </w:tc>
        <w:tc>
          <w:tcPr>
            <w:tcW w:type="dxa" w:w="5112"/>
            <w:shd w:fill="F3F4F6"/>
          </w:tcPr>
          <w:p>
            <w:r>
              <w:rPr>
                <w:sz w:val="16"/>
              </w:rPr>
              <w:t>20%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Defensa y revisión humana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10%</w:t>
            </w:r>
          </w:p>
        </w:tc>
      </w:tr>
    </w:tbl>
    <w:p/>
    <w:p>
      <w:pPr>
        <w:pStyle w:val="Heading1"/>
      </w:pPr>
      <w:r>
        <w:t>9. Criterios de aprobación</w:t>
      </w:r>
    </w:p>
    <w:p>
      <w:pPr>
        <w:pStyle w:val="ListBullet"/>
        <w:spacing w:after="40"/>
      </w:pPr>
      <w:r>
        <w:t>Superar el Quality Gate UI READY FOR EXPLORATION.</w:t>
      </w:r>
    </w:p>
    <w:p>
      <w:pPr>
        <w:pStyle w:val="ListBullet"/>
        <w:spacing w:after="40"/>
      </w:pPr>
      <w:r>
        <w:t>No mantener hallazgos críticos abiertos.</w:t>
      </w:r>
    </w:p>
    <w:p>
      <w:pPr>
        <w:pStyle w:val="ListBullet"/>
        <w:spacing w:after="40"/>
      </w:pPr>
      <w:r>
        <w:t>Artefactos entregables con trazabilidad hacia sus fuentes.</w:t>
      </w:r>
    </w:p>
    <w:p>
      <w:pPr>
        <w:pStyle w:val="ListBullet"/>
        <w:spacing w:after="40"/>
      </w:pPr>
      <w:r>
        <w:t>Revisión humana explícita antes de promover artefactos a stable.</w:t>
      </w:r>
    </w:p>
    <w:p>
      <w:pPr>
        <w:pStyle w:val="Heading1"/>
      </w:pPr>
      <w:r>
        <w:t>10. Entradas y salidas</w:t>
      </w:r>
    </w:p>
    <w:p>
      <w:r>
        <w:t>Salida canónica: UI Specification v1.0. La entrada se toma del curso anterior o, en los laboratorios tecnológicos, de la UI Specification canónica de UX-102.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