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8B0000"/>
          <w:sz w:val="48"/>
        </w:rPr>
        <w:t>Guía de Laboratorio — UX-102</w:t>
      </w:r>
    </w:p>
    <w:p>
      <w:pPr>
        <w:jc w:val="center"/>
      </w:pPr>
      <w:r>
        <w:rPr>
          <w:b/>
          <w:color w:val="4B5563"/>
          <w:sz w:val="26"/>
        </w:rPr>
        <w:t>Diseño de Interfaces con IA</w:t>
      </w:r>
    </w:p>
    <w:p>
      <w:pPr>
        <w:spacing w:before="700"/>
        <w:jc w:val="center"/>
      </w:pPr>
      <w:r>
        <w:rPr>
          <w:sz w:val="18"/>
        </w:rPr>
        <w:t>COMSATEL · Programa de Formación de Competencias 2026 · Malla V2</w:t>
      </w:r>
    </w:p>
    <w:p>
      <w:r>
        <w:br w:type="page"/>
      </w:r>
    </w:p>
    <w:p>
      <w:pPr>
        <w:pStyle w:val="Heading1"/>
      </w:pPr>
      <w:r>
        <w:t>1. Propósito</w:t>
      </w:r>
    </w:p>
    <w:p>
      <w:r>
        <w:t>Producir la especificación canónica que será la entrada idéntica para los laboratorios tecnológicos.</w:t>
      </w:r>
    </w:p>
    <w:p>
      <w:pPr>
        <w:pStyle w:val="Heading1"/>
      </w:pPr>
      <w:r>
        <w:t>2. Caso común</w:t>
      </w:r>
    </w:p>
    <w:p>
      <w:r>
        <w:t>Caso transversal: flujo de un producto COMSATEL con 3–5 User Stories refinadas, 6–10 pantallas, permisos por rol, estados de error y versiones mobile/desktop. Los datos usados en herramientas externas deben estar anonimizados.</w:t>
      </w:r>
    </w:p>
    <w:p>
      <w:pPr>
        <w:pStyle w:val="Heading1"/>
      </w:pPr>
      <w:r>
        <w:t>3. Precondiciones</w:t>
      </w:r>
    </w:p>
    <w:p>
      <w:pPr>
        <w:pStyle w:val="ListBullet"/>
        <w:spacing w:after="40"/>
      </w:pPr>
      <w:r>
        <w:t>Repositorio/bundle de laboratorio disponible.</w:t>
      </w:r>
    </w:p>
    <w:p>
      <w:pPr>
        <w:pStyle w:val="ListBullet"/>
        <w:spacing w:after="40"/>
      </w:pPr>
      <w:r>
        <w:t>Acceso a las herramientas requeridas para el curso.</w:t>
      </w:r>
    </w:p>
    <w:p>
      <w:pPr>
        <w:pStyle w:val="ListBullet"/>
        <w:spacing w:after="40"/>
      </w:pPr>
      <w:r>
        <w:t>Design System o guía visual vigente.</w:t>
      </w:r>
    </w:p>
    <w:p>
      <w:pPr>
        <w:pStyle w:val="ListBullet"/>
        <w:spacing w:after="40"/>
      </w:pPr>
      <w:r>
        <w:t>Artefactos del curso precedente disponibles y revisados.</w:t>
      </w:r>
    </w:p>
    <w:p>
      <w:pPr>
        <w:pStyle w:val="Heading1"/>
      </w:pPr>
      <w:r>
        <w:t>4. Entradas</w:t>
      </w:r>
    </w:p>
    <w:p>
      <w:pPr>
        <w:pStyle w:val="ListBullet"/>
        <w:spacing w:after="40"/>
      </w:pPr>
      <w:r>
        <w:t>UX Context Pack</w:t>
      </w:r>
    </w:p>
    <w:p>
      <w:pPr>
        <w:pStyle w:val="ListBullet"/>
        <w:spacing w:after="40"/>
      </w:pPr>
      <w:r>
        <w:t>UXR-*</w:t>
      </w:r>
    </w:p>
    <w:p>
      <w:pPr>
        <w:pStyle w:val="ListBullet"/>
        <w:spacing w:after="40"/>
      </w:pPr>
      <w:r>
        <w:t>FLW-*</w:t>
      </w:r>
    </w:p>
    <w:p>
      <w:pPr>
        <w:pStyle w:val="ListBullet"/>
        <w:spacing w:after="40"/>
      </w:pPr>
      <w:r>
        <w:t>Design System</w:t>
      </w:r>
    </w:p>
    <w:p>
      <w:pPr>
        <w:pStyle w:val="Heading1"/>
      </w:pPr>
      <w:r>
        <w:t>5. Desarrollo paso a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8B0000"/>
          </w:tcPr>
          <w:p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3408"/>
            <w:shd w:fill="8B0000"/>
          </w:tcPr>
          <w:p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3408"/>
            <w:shd w:fill="8B0000"/>
          </w:tcPr>
          <w:p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FLW → SCR.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Information Architecture</w:t>
            </w:r>
          </w:p>
        </w:tc>
      </w:tr>
      <w:tr>
        <w:tc>
          <w:tcPr>
            <w:tcW w:type="dxa" w:w="3408"/>
            <w:shd w:fill="F3F4F6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3408"/>
            <w:shd w:fill="F3F4F6"/>
          </w:tcPr>
          <w:p>
            <w:r>
              <w:rPr>
                <w:sz w:val="16"/>
              </w:rPr>
              <w:t>Matriz Screen × State.</w:t>
            </w:r>
          </w:p>
        </w:tc>
        <w:tc>
          <w:tcPr>
            <w:tcW w:type="dxa" w:w="3408"/>
            <w:shd w:fill="F3F4F6"/>
          </w:tcPr>
          <w:p>
            <w:r>
              <w:rPr>
                <w:sz w:val="16"/>
              </w:rPr>
              <w:t>Interaction &amp; State Design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SCR → CMP + TKN.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Design System &amp; Tokens</w:t>
            </w:r>
          </w:p>
        </w:tc>
      </w:tr>
      <w:tr>
        <w:tc>
          <w:tcPr>
            <w:tcW w:type="dxa" w:w="3408"/>
            <w:shd w:fill="F3F4F6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3408"/>
            <w:shd w:fill="F3F4F6"/>
          </w:tcPr>
          <w:p>
            <w:r>
              <w:rPr>
                <w:sz w:val="16"/>
              </w:rPr>
              <w:t>Accessibility review + AC en Given/When/Then.</w:t>
            </w:r>
          </w:p>
        </w:tc>
        <w:tc>
          <w:tcPr>
            <w:tcW w:type="dxa" w:w="3408"/>
            <w:shd w:fill="F3F4F6"/>
          </w:tcPr>
          <w:p>
            <w:r>
              <w:rPr>
                <w:sz w:val="16"/>
              </w:rPr>
              <w:t>UX Quality Contract</w:t>
            </w:r>
          </w:p>
        </w:tc>
      </w:tr>
    </w:tbl>
    <w:p/>
    <w:p>
      <w:pPr>
        <w:pStyle w:val="Heading1"/>
      </w:pPr>
      <w:r>
        <w:t>6. Uso de Skills</w:t>
      </w:r>
    </w:p>
    <w:p>
      <w:pPr>
        <w:pStyle w:val="ListBullet"/>
        <w:spacing w:after="40"/>
      </w:pPr>
      <w:r>
        <w:t>ui-spec-writer</w:t>
      </w:r>
    </w:p>
    <w:p>
      <w:pPr>
        <w:pStyle w:val="ListBullet"/>
        <w:spacing w:after="40"/>
      </w:pPr>
      <w:r>
        <w:t>accessibility-reviewer</w:t>
      </w:r>
    </w:p>
    <w:p>
      <w:pPr>
        <w:pStyle w:val="Heading1"/>
      </w:pPr>
      <w:r>
        <w:t>7. Evidencias obligatorias</w:t>
      </w:r>
    </w:p>
    <w:p>
      <w:pPr>
        <w:pStyle w:val="ListBullet"/>
        <w:spacing w:after="40"/>
      </w:pPr>
      <w:r>
        <w:t>UI Specification v1.0</w:t>
      </w:r>
    </w:p>
    <w:p>
      <w:pPr>
        <w:pStyle w:val="ListBullet"/>
        <w:spacing w:after="40"/>
      </w:pPr>
      <w:r>
        <w:t>log.md actualizado con provenance</w:t>
      </w:r>
    </w:p>
    <w:p>
      <w:pPr>
        <w:pStyle w:val="ListBullet"/>
        <w:spacing w:after="40"/>
      </w:pPr>
      <w:r>
        <w:t>Artefactos OKF creados/actualizados</w:t>
      </w:r>
    </w:p>
    <w:p>
      <w:pPr>
        <w:pStyle w:val="ListBullet"/>
        <w:spacing w:after="40"/>
      </w:pPr>
      <w:r>
        <w:t>Decisiones humanas registradas</w:t>
      </w:r>
    </w:p>
    <w:p>
      <w:pPr>
        <w:pStyle w:val="ListBullet"/>
        <w:spacing w:after="40"/>
      </w:pPr>
      <w:r>
        <w:t>Reporte de revisión/calidad correspondiente</w:t>
      </w:r>
    </w:p>
    <w:p>
      <w:pPr>
        <w:pStyle w:val="Heading1"/>
      </w:pPr>
      <w:r>
        <w:t>8. Quality Gate</w:t>
      </w:r>
    </w:p>
    <w:p>
      <w:r>
        <w:rPr>
          <w:b/>
          <w:color w:val="8B0000"/>
        </w:rPr>
        <w:t>UI READY FOR EXPLORATION</w:t>
      </w:r>
    </w:p>
    <w:p>
      <w:r>
        <w:t>El participante no cierra el laboratorio hasta demostrar el gate con evidencia reproducible.</w:t>
      </w:r>
    </w:p>
    <w:p>
      <w:pPr>
        <w:pStyle w:val="Heading1"/>
      </w:pPr>
      <w:r>
        <w:t>9. Checklist del participante</w:t>
      </w:r>
    </w:p>
    <w:p>
      <w:pPr>
        <w:pStyle w:val="ListBullet"/>
        <w:spacing w:after="40"/>
      </w:pPr>
      <w:r>
        <w:t>¿Usé el Context Pack correcto?</w:t>
      </w:r>
    </w:p>
    <w:p>
      <w:pPr>
        <w:pStyle w:val="ListBullet"/>
        <w:spacing w:after="40"/>
      </w:pPr>
      <w:r>
        <w:t>¿Separé hechos, supuestos y decisiones?</w:t>
      </w:r>
    </w:p>
    <w:p>
      <w:pPr>
        <w:pStyle w:val="ListBullet"/>
        <w:spacing w:after="40"/>
      </w:pPr>
      <w:r>
        <w:t>¿Puedo reproducir lo generado?</w:t>
      </w:r>
    </w:p>
    <w:p>
      <w:pPr>
        <w:pStyle w:val="ListBullet"/>
        <w:spacing w:after="40"/>
      </w:pPr>
      <w:r>
        <w:t>¿Registré provenance?</w:t>
      </w:r>
    </w:p>
    <w:p>
      <w:pPr>
        <w:pStyle w:val="ListBullet"/>
        <w:spacing w:after="40"/>
      </w:pPr>
      <w:r>
        <w:t>¿Existe trazabilidad hacia US/UXR/FLW/SCR/CMP/AC según corresponda?</w:t>
      </w:r>
    </w:p>
    <w:p>
      <w:pPr>
        <w:pStyle w:val="ListBullet"/>
        <w:spacing w:after="40"/>
      </w:pPr>
      <w:r>
        <w:t>¿La decisión final fue revisada por una persona?</w:t>
      </w:r>
    </w:p>
    <w:p>
      <w:pPr>
        <w:pStyle w:val="Heading1"/>
      </w:pPr>
      <w:r>
        <w:t>10. Entrega</w:t>
      </w:r>
    </w:p>
    <w:p>
      <w:r>
        <w:t>Entregar UI Specification v1.0 más el bundle OKF actualizado. La evidencia visual o export de la herramienta se almacena como referencia; no sustituye los conceptos canónicos.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8B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B55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