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8B0000"/>
          <w:sz w:val="48"/>
        </w:rPr>
        <w:t>UX-104 — Prototipado con Google Stitch</w:t>
      </w:r>
    </w:p>
    <w:p>
      <w:pPr>
        <w:jc w:val="center"/>
      </w:pPr>
      <w:r>
        <w:rPr>
          <w:b/>
          <w:color w:val="4B5563"/>
          <w:sz w:val="26"/>
        </w:rPr>
        <w:t>Ficha formal del curso</w:t>
      </w:r>
    </w:p>
    <w:p>
      <w:pPr>
        <w:spacing w:before="700"/>
        <w:jc w:val="center"/>
      </w:pPr>
      <w:r>
        <w:rPr>
          <w:sz w:val="18"/>
        </w:rPr>
        <w:t>COMSATEL · Programa de Formación de Competencias 2026 · Malla V2</w:t>
      </w:r>
    </w:p>
    <w:p>
      <w:r>
        <w:br w:type="page"/>
      </w:r>
    </w:p>
    <w:p>
      <w:pPr>
        <w:pStyle w:val="Heading1"/>
      </w:pPr>
      <w:r>
        <w:t>1. Identificación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8B0000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112"/>
            <w:shd w:fill="8B0000"/>
          </w:tcPr>
          <w:p>
            <w:r>
              <w:rPr>
                <w:b/>
                <w:color w:val="FFFFFF"/>
                <w:sz w:val="16"/>
              </w:rPr>
              <w:t>Definición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Código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UX-104</w:t>
            </w:r>
          </w:p>
        </w:tc>
      </w:tr>
      <w:tr>
        <w:tc>
          <w:tcPr>
            <w:tcW w:type="dxa" w:w="5112"/>
            <w:shd w:fill="F3F4F6"/>
          </w:tcPr>
          <w:p>
            <w:r>
              <w:rPr>
                <w:sz w:val="16"/>
              </w:rPr>
              <w:t>Duración</w:t>
            </w:r>
          </w:p>
        </w:tc>
        <w:tc>
          <w:tcPr>
            <w:tcW w:type="dxa" w:w="5112"/>
            <w:shd w:fill="F3F4F6"/>
          </w:tcPr>
          <w:p>
            <w:r>
              <w:rPr>
                <w:sz w:val="16"/>
              </w:rPr>
              <w:t>15 h · 5 sesiones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Nivel V2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EXPLORE FAST</w:t>
            </w:r>
          </w:p>
        </w:tc>
      </w:tr>
      <w:tr>
        <w:tc>
          <w:tcPr>
            <w:tcW w:type="dxa" w:w="5112"/>
            <w:shd w:fill="F3F4F6"/>
          </w:tcPr>
          <w:p>
            <w:r>
              <w:rPr>
                <w:sz w:val="16"/>
              </w:rPr>
              <w:t>Resultado principal</w:t>
            </w:r>
          </w:p>
        </w:tc>
        <w:tc>
          <w:tcPr>
            <w:tcW w:type="dxa" w:w="5112"/>
            <w:shd w:fill="F3F4F6"/>
          </w:tcPr>
          <w:p>
            <w:r>
              <w:rPr>
                <w:sz w:val="16"/>
              </w:rPr>
              <w:t>Rapid Exploration Pack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Quality Gate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RAPID EXPLORATION REVIEWED</w:t>
            </w:r>
          </w:p>
        </w:tc>
      </w:tr>
    </w:tbl>
    <w:p/>
    <w:p>
      <w:pPr>
        <w:pStyle w:val="Heading1"/>
      </w:pPr>
      <w:r>
        <w:t>2. Objetivo</w:t>
      </w:r>
    </w:p>
    <w:p>
      <w:r>
        <w:t>Explorar rápidamente el espacio de soluciones mediante Google Stitch sin perder trazabilidad, reproducibilidad ni consistencia con el Design System.</w:t>
      </w:r>
    </w:p>
    <w:p>
      <w:pPr>
        <w:pStyle w:val="Heading1"/>
      </w:pPr>
      <w:r>
        <w:t>3. Resultado de aprendizaje</w:t>
      </w:r>
    </w:p>
    <w:p>
      <w:r>
        <w:t>Al finalizar, el participante será capaz de producir y defender un Rapid Exploration Pack trazable, verificable y gobernado, utilizando agentes IA sin delegar el juicio profesional.</w:t>
      </w:r>
    </w:p>
    <w:p>
      <w:pPr>
        <w:pStyle w:val="Heading1"/>
      </w:pPr>
      <w:r>
        <w:t>4. Principios de trabajo</w:t>
      </w:r>
    </w:p>
    <w:p>
      <w:pPr>
        <w:pStyle w:val="ListBullet"/>
        <w:spacing w:after="40"/>
      </w:pPr>
      <w:r>
        <w:t>Context Pack antes que prompt aislado.</w:t>
      </w:r>
    </w:p>
    <w:p>
      <w:pPr>
        <w:pStyle w:val="ListBullet"/>
        <w:spacing w:after="40"/>
      </w:pPr>
      <w:r>
        <w:t>Contexto → Intención → Generación → Crítica → Decisión → Registro.</w:t>
      </w:r>
    </w:p>
    <w:p>
      <w:pPr>
        <w:pStyle w:val="ListBullet"/>
        <w:spacing w:after="40"/>
      </w:pPr>
      <w:r>
        <w:t>La decisión y la verificación final son humanas.</w:t>
      </w:r>
    </w:p>
    <w:p>
      <w:pPr>
        <w:pStyle w:val="ListBullet"/>
        <w:spacing w:after="40"/>
      </w:pPr>
      <w:r>
        <w:t>Todo Markdown producido por Skills se integra al bundle OKF v0.2.</w:t>
      </w:r>
    </w:p>
    <w:p>
      <w:pPr>
        <w:pStyle w:val="Heading1"/>
      </w:pPr>
      <w:r>
        <w:t>5. Sesiones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8B0000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6"/>
            <w:shd w:fill="8B0000"/>
          </w:tcPr>
          <w:p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2556"/>
            <w:shd w:fill="8B0000"/>
          </w:tcPr>
          <w:p>
            <w:r>
              <w:rPr>
                <w:b/>
                <w:color w:val="FFFFFF"/>
                <w:sz w:val="16"/>
              </w:rPr>
              <w:t>Contenido</w:t>
            </w:r>
          </w:p>
        </w:tc>
        <w:tc>
          <w:tcPr>
            <w:tcW w:type="dxa" w:w="2556"/>
            <w:shd w:fill="8B0000"/>
          </w:tcPr>
          <w:p>
            <w:r>
              <w:rPr>
                <w:b/>
                <w:color w:val="FFFFFF"/>
                <w:sz w:val="16"/>
              </w:rPr>
              <w:t>Práctica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S1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Design Context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DESIGN.md desde tokens/componentes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Construir DESIGN.md.</w:t>
            </w:r>
          </w:p>
        </w:tc>
      </w:tr>
      <w:tr>
        <w:tc>
          <w:tcPr>
            <w:tcW w:type="dxa" w:w="2556"/>
            <w:shd w:fill="F3F4F6"/>
          </w:tcPr>
          <w:p>
            <w:r>
              <w:rPr>
                <w:sz w:val="16"/>
              </w:rPr>
              <w:t>S2</w:t>
            </w:r>
          </w:p>
        </w:tc>
        <w:tc>
          <w:tcPr>
            <w:tcW w:type="dxa" w:w="2556"/>
            <w:shd w:fill="F3F4F6"/>
          </w:tcPr>
          <w:p>
            <w:r>
              <w:rPr>
                <w:sz w:val="16"/>
              </w:rPr>
              <w:t>Specification-to-UI</w:t>
            </w:r>
          </w:p>
        </w:tc>
        <w:tc>
          <w:tcPr>
            <w:tcW w:type="dxa" w:w="2556"/>
            <w:shd w:fill="F3F4F6"/>
          </w:tcPr>
          <w:p>
            <w:r>
              <w:rPr>
                <w:sz w:val="16"/>
              </w:rPr>
              <w:t>Prompt estructurado desde SCR</w:t>
            </w:r>
          </w:p>
        </w:tc>
        <w:tc>
          <w:tcPr>
            <w:tcW w:type="dxa" w:w="2556"/>
            <w:shd w:fill="F3F4F6"/>
          </w:tcPr>
          <w:p>
            <w:r>
              <w:rPr>
                <w:sz w:val="16"/>
              </w:rPr>
              <w:t>Generar flujo principal.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Parallel Exploration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Variantes y selección contra AC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≥3 variantes por pantalla crítica.</w:t>
            </w:r>
          </w:p>
        </w:tc>
      </w:tr>
      <w:tr>
        <w:tc>
          <w:tcPr>
            <w:tcW w:type="dxa" w:w="2556"/>
            <w:shd w:fill="F3F4F6"/>
          </w:tcPr>
          <w:p>
            <w:r>
              <w:rPr>
                <w:sz w:val="16"/>
              </w:rPr>
              <w:t>S4</w:t>
            </w:r>
          </w:p>
        </w:tc>
        <w:tc>
          <w:tcPr>
            <w:tcW w:type="dxa" w:w="2556"/>
            <w:shd w:fill="F3F4F6"/>
          </w:tcPr>
          <w:p>
            <w:r>
              <w:rPr>
                <w:sz w:val="16"/>
              </w:rPr>
              <w:t>Flow Prototyping</w:t>
            </w:r>
          </w:p>
        </w:tc>
        <w:tc>
          <w:tcPr>
            <w:tcW w:type="dxa" w:w="2556"/>
            <w:shd w:fill="F3F4F6"/>
          </w:tcPr>
          <w:p>
            <w:r>
              <w:rPr>
                <w:sz w:val="16"/>
              </w:rPr>
              <w:t>Navegación, estados y refinamiento</w:t>
            </w:r>
          </w:p>
        </w:tc>
        <w:tc>
          <w:tcPr>
            <w:tcW w:type="dxa" w:w="2556"/>
            <w:shd w:fill="F3F4F6"/>
          </w:tcPr>
          <w:p>
            <w:r>
              <w:rPr>
                <w:sz w:val="16"/>
              </w:rPr>
              <w:t>Prototipo navegable.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S5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Design Transfer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Stitch → Figma/código/MCP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Registrar conservación, pérdida y normalización.</w:t>
            </w:r>
          </w:p>
        </w:tc>
      </w:tr>
    </w:tbl>
    <w:p/>
    <w:p>
      <w:pPr>
        <w:pStyle w:val="Heading1"/>
      </w:pPr>
      <w:r>
        <w:t>6. Laboratorio integrador</w:t>
      </w:r>
    </w:p>
    <w:p>
      <w:r>
        <w:t>Resolver la misma UI Specification de UX-103, priorizando velocidad, diversidad y reproducibilidad.</w:t>
      </w:r>
    </w:p>
    <w:p>
      <w:pPr>
        <w:pStyle w:val="Heading1"/>
      </w:pPr>
      <w:r>
        <w:t>7. Skill Package</w:t>
      </w:r>
    </w:p>
    <w:p>
      <w:pPr>
        <w:pStyle w:val="ListBullet"/>
        <w:spacing w:after="40"/>
      </w:pPr>
      <w:r>
        <w:t>stitch-ui-generator</w:t>
      </w:r>
    </w:p>
    <w:p>
      <w:pPr>
        <w:pStyle w:val="Heading1"/>
      </w:pPr>
      <w:r>
        <w:t>8. Evaluación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8B0000"/>
          </w:tcPr>
          <w:p>
            <w:r>
              <w:rPr>
                <w:b/>
                <w:color w:val="FFFFFF"/>
                <w:sz w:val="16"/>
              </w:rPr>
              <w:t>Dimensión</w:t>
            </w:r>
          </w:p>
        </w:tc>
        <w:tc>
          <w:tcPr>
            <w:tcW w:type="dxa" w:w="5112"/>
            <w:shd w:fill="8B0000"/>
          </w:tcPr>
          <w:p>
            <w:r>
              <w:rPr>
                <w:b/>
                <w:color w:val="FFFFFF"/>
                <w:sz w:val="16"/>
              </w:rPr>
              <w:t>Peso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Trazabilidad y completitud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25%</w:t>
            </w:r>
          </w:p>
        </w:tc>
      </w:tr>
      <w:tr>
        <w:tc>
          <w:tcPr>
            <w:tcW w:type="dxa" w:w="5112"/>
            <w:shd w:fill="F3F4F6"/>
          </w:tcPr>
          <w:p>
            <w:r>
              <w:rPr>
                <w:sz w:val="16"/>
              </w:rPr>
              <w:t>Calidad de decisiones / especificación</w:t>
            </w:r>
          </w:p>
        </w:tc>
        <w:tc>
          <w:tcPr>
            <w:tcW w:type="dxa" w:w="5112"/>
            <w:shd w:fill="F3F4F6"/>
          </w:tcPr>
          <w:p>
            <w:r>
              <w:rPr>
                <w:sz w:val="16"/>
              </w:rPr>
              <w:t>25%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Uso responsable del agente y provenance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20%</w:t>
            </w:r>
          </w:p>
        </w:tc>
      </w:tr>
      <w:tr>
        <w:tc>
          <w:tcPr>
            <w:tcW w:type="dxa" w:w="5112"/>
            <w:shd w:fill="F3F4F6"/>
          </w:tcPr>
          <w:p>
            <w:r>
              <w:rPr>
                <w:sz w:val="16"/>
              </w:rPr>
              <w:t>Calidad técnica / accesibilidad</w:t>
            </w:r>
          </w:p>
        </w:tc>
        <w:tc>
          <w:tcPr>
            <w:tcW w:type="dxa" w:w="5112"/>
            <w:shd w:fill="F3F4F6"/>
          </w:tcPr>
          <w:p>
            <w:r>
              <w:rPr>
                <w:sz w:val="16"/>
              </w:rPr>
              <w:t>20%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Defensa y revisión humana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10%</w:t>
            </w:r>
          </w:p>
        </w:tc>
      </w:tr>
    </w:tbl>
    <w:p/>
    <w:p>
      <w:pPr>
        <w:pStyle w:val="Heading1"/>
      </w:pPr>
      <w:r>
        <w:t>9. Criterios de aprobación</w:t>
      </w:r>
    </w:p>
    <w:p>
      <w:pPr>
        <w:pStyle w:val="ListBullet"/>
        <w:spacing w:after="40"/>
      </w:pPr>
      <w:r>
        <w:t>Superar el Quality Gate RAPID EXPLORATION REVIEWED.</w:t>
      </w:r>
    </w:p>
    <w:p>
      <w:pPr>
        <w:pStyle w:val="ListBullet"/>
        <w:spacing w:after="40"/>
      </w:pPr>
      <w:r>
        <w:t>No mantener hallazgos críticos abiertos.</w:t>
      </w:r>
    </w:p>
    <w:p>
      <w:pPr>
        <w:pStyle w:val="ListBullet"/>
        <w:spacing w:after="40"/>
      </w:pPr>
      <w:r>
        <w:t>Artefactos entregables con trazabilidad hacia sus fuentes.</w:t>
      </w:r>
    </w:p>
    <w:p>
      <w:pPr>
        <w:pStyle w:val="ListBullet"/>
        <w:spacing w:after="40"/>
      </w:pPr>
      <w:r>
        <w:t>Revisión humana explícita antes de promover artefactos a stable.</w:t>
      </w:r>
    </w:p>
    <w:p>
      <w:pPr>
        <w:pStyle w:val="Heading1"/>
      </w:pPr>
      <w:r>
        <w:t>10. Entradas y salidas</w:t>
      </w:r>
    </w:p>
    <w:p>
      <w:r>
        <w:t>Salida canónica: Rapid Exploration Pack. La entrada se toma del curso anterior o, en los laboratorios tecnológicos, de la UI Specification canónica de UX-102.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8B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B55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