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UX-105 — Diseño Gobernado con Figma</w:t>
      </w:r>
    </w:p>
    <w:p>
      <w:pPr>
        <w:jc w:val="center"/>
      </w:pPr>
      <w:r>
        <w:rPr>
          <w:b/>
          <w:color w:val="4B5563"/>
          <w:sz w:val="26"/>
        </w:rPr>
        <w:t>Ficha formal del curso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UX-105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Duración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15 h · 5 sesiones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Nivel V2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GOVERN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Resultado principal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Governed Design Package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 Gate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DESIGN READY FOR DEVELOPMENT</w:t>
            </w:r>
          </w:p>
        </w:tc>
      </w:tr>
    </w:tbl>
    <w:p/>
    <w:p>
      <w:pPr>
        <w:pStyle w:val="Heading1"/>
      </w:pPr>
      <w:r>
        <w:t>2. Objetivo</w:t>
      </w:r>
    </w:p>
    <w:p>
      <w:r>
        <w:t>Industrializar el diseño en Figma como punto de convergencia: Variables, componentes, variantes, responsive, accesibilidad y contexto estructurado para agentes mediante MCP.</w:t>
      </w:r>
    </w:p>
    <w:p>
      <w:pPr>
        <w:pStyle w:val="Heading1"/>
      </w:pPr>
      <w:r>
        <w:t>3. Resultado de aprendizaje</w:t>
      </w:r>
    </w:p>
    <w:p>
      <w:r>
        <w:t>Al finalizar, el participante será capaz de producir y defender un Governed Design Package trazable, verificable y gobernado, utilizando agentes IA sin delegar el juicio profesional.</w:t>
      </w:r>
    </w:p>
    <w:p>
      <w:pPr>
        <w:pStyle w:val="Heading1"/>
      </w:pPr>
      <w:r>
        <w:t>4. Principios de trabajo</w:t>
      </w:r>
    </w:p>
    <w:p>
      <w:pPr>
        <w:pStyle w:val="ListBullet"/>
        <w:spacing w:after="40"/>
      </w:pPr>
      <w:r>
        <w:t>Context Pack antes que prompt aislado.</w:t>
      </w:r>
    </w:p>
    <w:p>
      <w:pPr>
        <w:pStyle w:val="ListBullet"/>
        <w:spacing w:after="40"/>
      </w:pPr>
      <w:r>
        <w:t>Contexto → Intención → Generación → Crítica → Decisión → Registro.</w:t>
      </w:r>
    </w:p>
    <w:p>
      <w:pPr>
        <w:pStyle w:val="ListBullet"/>
        <w:spacing w:after="40"/>
      </w:pPr>
      <w:r>
        <w:t>La decisión y la verificación final son humanas.</w:t>
      </w:r>
    </w:p>
    <w:p>
      <w:pPr>
        <w:pStyle w:val="ListBullet"/>
        <w:spacing w:after="40"/>
      </w:pPr>
      <w:r>
        <w:t>Todo Markdown producido por Skills se integra al bundle OKF v0.2.</w:t>
      </w:r>
    </w:p>
    <w:p>
      <w:pPr>
        <w:pStyle w:val="Heading1"/>
      </w:pPr>
      <w:r>
        <w:t>5.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 Tokens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Variables, modos, primitivos y semánticos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TKN → Figma Variables.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Component Engineering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Componentes, variantes, propiedades, Auto Layout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CMP → librería gobernada.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Responsive Composition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Mobile/desktop y normalización de Stitch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SCR responsive.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Agentic Figma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Designer ↔ Agent ↔ Figma MCP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Validación automatizada.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Design-to-Code Foundation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MCP + Code Connect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Developer consume una pantalla sin capturas.</w:t>
            </w:r>
          </w:p>
        </w:tc>
      </w:tr>
    </w:tbl>
    <w:p/>
    <w:p>
      <w:pPr>
        <w:pStyle w:val="Heading1"/>
      </w:pPr>
      <w:r>
        <w:t>6. Laboratorio integrador</w:t>
      </w:r>
    </w:p>
    <w:p>
      <w:r>
        <w:t>Normalizar y gobernar en Figma una solución proveniente de la UI Specification o de Stitch.</w:t>
      </w:r>
    </w:p>
    <w:p>
      <w:pPr>
        <w:pStyle w:val="Heading1"/>
      </w:pPr>
      <w:r>
        <w:t>7. Skill Package</w:t>
      </w:r>
    </w:p>
    <w:p>
      <w:pPr>
        <w:pStyle w:val="ListBullet"/>
        <w:spacing w:after="40"/>
      </w:pPr>
      <w:r>
        <w:t>figma-design-validator</w:t>
      </w:r>
    </w:p>
    <w:p>
      <w:pPr>
        <w:pStyle w:val="Heading1"/>
      </w:pPr>
      <w:r>
        <w:t>8.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Trazabilidad y completitud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de decisiones / especificación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Uso responsable del agente y provenance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técnica / accesibilidad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Defensa y revisión humana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10%</w:t>
            </w:r>
          </w:p>
        </w:tc>
      </w:tr>
    </w:tbl>
    <w:p/>
    <w:p>
      <w:pPr>
        <w:pStyle w:val="Heading1"/>
      </w:pPr>
      <w:r>
        <w:t>9. Criterios de aprobación</w:t>
      </w:r>
    </w:p>
    <w:p>
      <w:pPr>
        <w:pStyle w:val="ListBullet"/>
        <w:spacing w:after="40"/>
      </w:pPr>
      <w:r>
        <w:t>Superar el Quality Gate DESIGN READY FOR DEVELOPMENT.</w:t>
      </w:r>
    </w:p>
    <w:p>
      <w:pPr>
        <w:pStyle w:val="ListBullet"/>
        <w:spacing w:after="40"/>
      </w:pPr>
      <w:r>
        <w:t>No mantener hallazgos críticos abiertos.</w:t>
      </w:r>
    </w:p>
    <w:p>
      <w:pPr>
        <w:pStyle w:val="ListBullet"/>
        <w:spacing w:after="40"/>
      </w:pPr>
      <w:r>
        <w:t>Artefactos entregables con trazabilidad hacia sus fuentes.</w:t>
      </w:r>
    </w:p>
    <w:p>
      <w:pPr>
        <w:pStyle w:val="ListBullet"/>
        <w:spacing w:after="40"/>
      </w:pPr>
      <w:r>
        <w:t>Revisión humana explícita antes de promover artefactos a stable.</w:t>
      </w:r>
    </w:p>
    <w:p>
      <w:pPr>
        <w:pStyle w:val="Heading1"/>
      </w:pPr>
      <w:r>
        <w:t>10. Entradas y salidas</w:t>
      </w:r>
    </w:p>
    <w:p>
      <w:r>
        <w:t>Salida canónica: Governed Design Package. La entrada se toma del curso anterior o, en los laboratorios tecnológicos, de la UI Specification canónica de UX-102.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