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Guía de Laboratorio — UX-105</w:t>
      </w:r>
    </w:p>
    <w:p>
      <w:pPr>
        <w:jc w:val="center"/>
      </w:pPr>
      <w:r>
        <w:rPr>
          <w:b/>
          <w:color w:val="4B5563"/>
          <w:sz w:val="26"/>
        </w:rPr>
        <w:t>Diseño Gobernado con Figma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Normalizar y gobernar en Figma una solución proveniente de la UI Specification o de Stitch.</w:t>
      </w:r>
    </w:p>
    <w:p>
      <w:pPr>
        <w:pStyle w:val="Heading1"/>
      </w:pPr>
      <w:r>
        <w:t>2. Caso común</w:t>
      </w:r>
    </w:p>
    <w:p>
      <w:r>
        <w:t>Caso transversal: flujo de un producto COMSATEL con 3–5 User Stories refinadas, 6–10 pantallas, permisos por rol, estados de error y versiones mobile/desktop. Los datos usados en herramientas externas deben estar anonimizados.</w:t>
      </w:r>
    </w:p>
    <w:p>
      <w:pPr>
        <w:pStyle w:val="Heading1"/>
      </w:pPr>
      <w:r>
        <w:t>3. Precondiciones</w:t>
      </w:r>
    </w:p>
    <w:p>
      <w:pPr>
        <w:pStyle w:val="ListBullet"/>
        <w:spacing w:after="40"/>
      </w:pPr>
      <w:r>
        <w:t>Repositorio/bundle de laboratorio disponible.</w:t>
      </w:r>
    </w:p>
    <w:p>
      <w:pPr>
        <w:pStyle w:val="ListBullet"/>
        <w:spacing w:after="40"/>
      </w:pPr>
      <w:r>
        <w:t>Acceso a las herramientas requeridas para el curso.</w:t>
      </w:r>
    </w:p>
    <w:p>
      <w:pPr>
        <w:pStyle w:val="ListBullet"/>
        <w:spacing w:after="40"/>
      </w:pPr>
      <w:r>
        <w:t>Design System o guía visual vigente.</w:t>
      </w:r>
    </w:p>
    <w:p>
      <w:pPr>
        <w:pStyle w:val="ListBullet"/>
        <w:spacing w:after="40"/>
      </w:pPr>
      <w:r>
        <w:t>Artefactos del curso precedente disponibles y revisados.</w:t>
      </w:r>
    </w:p>
    <w:p>
      <w:pPr>
        <w:pStyle w:val="ListBullet"/>
        <w:spacing w:after="40"/>
      </w:pPr>
      <w:r>
        <w:t>Archivo/proyecto Figma y acceso a Figma MCP según disponibilidad organizacional.</w:t>
      </w:r>
    </w:p>
    <w:p>
      <w:pPr>
        <w:pStyle w:val="Heading1"/>
      </w:pPr>
      <w:r>
        <w:t>4. Entradas</w:t>
      </w:r>
    </w:p>
    <w:p>
      <w:pPr>
        <w:pStyle w:val="ListBullet"/>
        <w:spacing w:after="40"/>
      </w:pPr>
      <w:r>
        <w:t>UI Specification v1.0</w:t>
      </w:r>
    </w:p>
    <w:p>
      <w:pPr>
        <w:pStyle w:val="ListBullet"/>
        <w:spacing w:after="40"/>
      </w:pPr>
      <w:r>
        <w:t>Design System</w:t>
      </w:r>
    </w:p>
    <w:p>
      <w:pPr>
        <w:pStyle w:val="ListBullet"/>
        <w:spacing w:after="40"/>
      </w:pPr>
      <w:r>
        <w:t>Opcional: salida Stitch/Claude Design</w:t>
      </w:r>
    </w:p>
    <w:p>
      <w:pPr>
        <w:pStyle w:val="Heading1"/>
      </w:pPr>
      <w:r>
        <w:t>5. Desarrollo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TKN → Figma Variables.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 Tokens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CMP → librería gobernada.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Component Engineering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SCR responsive.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Responsive Composition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Validación automatizada.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Agentic Figma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Developer consume una pantalla sin capturas.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Design-to-Code Foundation</w:t>
            </w:r>
          </w:p>
        </w:tc>
      </w:tr>
    </w:tbl>
    <w:p/>
    <w:p>
      <w:pPr>
        <w:pStyle w:val="Heading1"/>
      </w:pPr>
      <w:r>
        <w:t>6. Uso de Skills</w:t>
      </w:r>
    </w:p>
    <w:p>
      <w:pPr>
        <w:pStyle w:val="ListBullet"/>
        <w:spacing w:after="40"/>
      </w:pPr>
      <w:r>
        <w:t>figma-design-validator</w:t>
      </w:r>
    </w:p>
    <w:p>
      <w:pPr>
        <w:pStyle w:val="Heading1"/>
      </w:pPr>
      <w:r>
        <w:t>7. Evidencias obligatorias</w:t>
      </w:r>
    </w:p>
    <w:p>
      <w:pPr>
        <w:pStyle w:val="ListBullet"/>
        <w:spacing w:after="40"/>
      </w:pPr>
      <w:r>
        <w:t>Governed Design Package</w:t>
      </w:r>
    </w:p>
    <w:p>
      <w:pPr>
        <w:pStyle w:val="ListBullet"/>
        <w:spacing w:after="40"/>
      </w:pPr>
      <w:r>
        <w:t>log.md actualizado con provenance</w:t>
      </w:r>
    </w:p>
    <w:p>
      <w:pPr>
        <w:pStyle w:val="ListBullet"/>
        <w:spacing w:after="40"/>
      </w:pPr>
      <w:r>
        <w:t>Artefactos OKF creados/actualizados</w:t>
      </w:r>
    </w:p>
    <w:p>
      <w:pPr>
        <w:pStyle w:val="ListBullet"/>
        <w:spacing w:after="40"/>
      </w:pPr>
      <w:r>
        <w:t>Decisiones humanas registradas</w:t>
      </w:r>
    </w:p>
    <w:p>
      <w:pPr>
        <w:pStyle w:val="ListBullet"/>
        <w:spacing w:after="40"/>
      </w:pPr>
      <w:r>
        <w:t>Reporte de revisión/calidad correspondiente</w:t>
      </w:r>
    </w:p>
    <w:p>
      <w:pPr>
        <w:pStyle w:val="Heading1"/>
      </w:pPr>
      <w:r>
        <w:t>8. Quality Gate</w:t>
      </w:r>
    </w:p>
    <w:p>
      <w:r>
        <w:rPr>
          <w:b/>
          <w:color w:val="8B0000"/>
        </w:rPr>
        <w:t>DESIGN READY FOR DEVELOPMENT</w:t>
      </w:r>
    </w:p>
    <w:p>
      <w:r>
        <w:t>El participante no cierra el laboratorio hasta demostrar el gate con evidencia reproducible.</w:t>
      </w:r>
    </w:p>
    <w:p>
      <w:pPr>
        <w:pStyle w:val="Heading1"/>
      </w:pPr>
      <w:r>
        <w:t>9. Checklist del participante</w:t>
      </w:r>
    </w:p>
    <w:p>
      <w:pPr>
        <w:pStyle w:val="ListBullet"/>
        <w:spacing w:after="40"/>
      </w:pPr>
      <w:r>
        <w:t>¿Usé el Context Pack correcto?</w:t>
      </w:r>
    </w:p>
    <w:p>
      <w:pPr>
        <w:pStyle w:val="ListBullet"/>
        <w:spacing w:after="40"/>
      </w:pPr>
      <w:r>
        <w:t>¿Separé hechos, supuestos y decisiones?</w:t>
      </w:r>
    </w:p>
    <w:p>
      <w:pPr>
        <w:pStyle w:val="ListBullet"/>
        <w:spacing w:after="40"/>
      </w:pPr>
      <w:r>
        <w:t>¿Puedo reproducir lo generado?</w:t>
      </w:r>
    </w:p>
    <w:p>
      <w:pPr>
        <w:pStyle w:val="ListBullet"/>
        <w:spacing w:after="40"/>
      </w:pPr>
      <w:r>
        <w:t>¿Registré provenance?</w:t>
      </w:r>
    </w:p>
    <w:p>
      <w:pPr>
        <w:pStyle w:val="ListBullet"/>
        <w:spacing w:after="40"/>
      </w:pPr>
      <w:r>
        <w:t>¿Existe trazabilidad hacia US/UXR/FLW/SCR/CMP/AC según corresponda?</w:t>
      </w:r>
    </w:p>
    <w:p>
      <w:pPr>
        <w:pStyle w:val="ListBullet"/>
        <w:spacing w:after="40"/>
      </w:pPr>
      <w:r>
        <w:t>¿La decisión final fue revisada por una persona?</w:t>
      </w:r>
    </w:p>
    <w:p>
      <w:pPr>
        <w:pStyle w:val="Heading1"/>
      </w:pPr>
      <w:r>
        <w:t>10. Entrega</w:t>
      </w:r>
    </w:p>
    <w:p>
      <w:r>
        <w:t>Entregar Governed Design Package más el bundle OKF actualizado. La evidencia visual o export de la herramienta se almacena como referencia; no sustituye los conceptos canónicos.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