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UX-106 — Design-to-Code &amp; Handoff Agentic</w:t>
      </w:r>
    </w:p>
    <w:p>
      <w:pPr>
        <w:jc w:val="center"/>
      </w:pPr>
      <w:r>
        <w:rPr>
          <w:b/>
          <w:color w:val="4B5563"/>
          <w:sz w:val="26"/>
        </w:rPr>
        <w:t>Ficha formal del curso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UX-106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Duración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12 h · 4 sesiones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Nivel V2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DELIVER + VALIDATE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Resultado principal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Design-to-Code Context Pack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 Gate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 VERIFIED</w:t>
            </w:r>
          </w:p>
        </w:tc>
      </w:tr>
    </w:tbl>
    <w:p/>
    <w:p>
      <w:pPr>
        <w:pStyle w:val="Heading1"/>
      </w:pPr>
      <w:r>
        <w:t>2. Objetivo</w:t>
      </w:r>
    </w:p>
    <w:p>
      <w:r>
        <w:t>Crear un continuo Diseño → Código → Validación mediante un Context Pack consumible por Arquitectura, Development y QA y verificar la conformidad de la implementación.</w:t>
      </w:r>
    </w:p>
    <w:p>
      <w:pPr>
        <w:pStyle w:val="Heading1"/>
      </w:pPr>
      <w:r>
        <w:t>3. Resultado de aprendizaje</w:t>
      </w:r>
    </w:p>
    <w:p>
      <w:r>
        <w:t>Al finalizar, el participante será capaz de producir y defender un Design-to-Code Context Pack trazable, verificable y gobernado, utilizando agentes IA sin delegar el juicio profesional.</w:t>
      </w:r>
    </w:p>
    <w:p>
      <w:pPr>
        <w:pStyle w:val="Heading1"/>
      </w:pPr>
      <w:r>
        <w:t>4. Principios de trabajo</w:t>
      </w:r>
    </w:p>
    <w:p>
      <w:pPr>
        <w:pStyle w:val="ListBullet"/>
        <w:spacing w:after="40"/>
      </w:pPr>
      <w:r>
        <w:t>Context Pack antes que prompt aislado.</w:t>
      </w:r>
    </w:p>
    <w:p>
      <w:pPr>
        <w:pStyle w:val="ListBullet"/>
        <w:spacing w:after="40"/>
      </w:pPr>
      <w:r>
        <w:t>Contexto → Intención → Generación → Crítica → Decisión → Registro.</w:t>
      </w:r>
    </w:p>
    <w:p>
      <w:pPr>
        <w:pStyle w:val="ListBullet"/>
        <w:spacing w:after="40"/>
      </w:pPr>
      <w:r>
        <w:t>La decisión y la verificación final son humanas.</w:t>
      </w:r>
    </w:p>
    <w:p>
      <w:pPr>
        <w:pStyle w:val="ListBullet"/>
        <w:spacing w:after="40"/>
      </w:pPr>
      <w:r>
        <w:t>Todo Markdown producido por Skills se integra al bundle OKF v0.2.</w:t>
      </w:r>
    </w:p>
    <w:p>
      <w:pPr>
        <w:pStyle w:val="Heading1"/>
      </w:pPr>
      <w:r>
        <w:t>5.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Development Context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Figma + OKF + UI Spec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Generar Handoff Pack.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UX ↔ Arquitectura ↔ Developer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ASR candidates; consumo por MCP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Implementar una pantalla desde el pack.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UX ↔ QA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AC → QA Scenarios → Evidence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QA deriva pruebas sin reinterpretación.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Design Conformance Review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Diseño ↔ implementación ↔ runtime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UX Quality Report + cierre.</w:t>
            </w:r>
          </w:p>
        </w:tc>
      </w:tr>
    </w:tbl>
    <w:p/>
    <w:p>
      <w:pPr>
        <w:pStyle w:val="Heading1"/>
      </w:pPr>
      <w:r>
        <w:t>6. Laboratorio integrador</w:t>
      </w:r>
    </w:p>
    <w:p>
      <w:r>
        <w:t>Probar el handoff E2E con un Developer y QA reales o simulados, midiendo aclaraciones y desviaciones.</w:t>
      </w:r>
    </w:p>
    <w:p>
      <w:pPr>
        <w:pStyle w:val="Heading1"/>
      </w:pPr>
      <w:r>
        <w:t>7. Skill Package</w:t>
      </w:r>
    </w:p>
    <w:p>
      <w:pPr>
        <w:pStyle w:val="ListBullet"/>
        <w:spacing w:after="40"/>
      </w:pPr>
      <w:r>
        <w:t>ux-development-handoff</w:t>
      </w:r>
    </w:p>
    <w:p>
      <w:pPr>
        <w:pStyle w:val="ListBullet"/>
        <w:spacing w:after="40"/>
      </w:pPr>
      <w:r>
        <w:t>accessibility-reviewer</w:t>
      </w:r>
    </w:p>
    <w:p>
      <w:pPr>
        <w:pStyle w:val="Heading1"/>
      </w:pPr>
      <w:r>
        <w:t>8.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Trazabilidad y completitud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de decisiones / especificación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Uso responsable del agente y provenance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técnica / accesibilidad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Defensa y revisión humana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10%</w:t>
            </w:r>
          </w:p>
        </w:tc>
      </w:tr>
    </w:tbl>
    <w:p/>
    <w:p>
      <w:pPr>
        <w:pStyle w:val="Heading1"/>
      </w:pPr>
      <w:r>
        <w:t>9. Criterios de aprobación</w:t>
      </w:r>
    </w:p>
    <w:p>
      <w:pPr>
        <w:pStyle w:val="ListBullet"/>
        <w:spacing w:after="40"/>
      </w:pPr>
      <w:r>
        <w:t>Superar el Quality Gate UX VERIFIED.</w:t>
      </w:r>
    </w:p>
    <w:p>
      <w:pPr>
        <w:pStyle w:val="ListBullet"/>
        <w:spacing w:after="40"/>
      </w:pPr>
      <w:r>
        <w:t>No mantener hallazgos críticos abiertos.</w:t>
      </w:r>
    </w:p>
    <w:p>
      <w:pPr>
        <w:pStyle w:val="ListBullet"/>
        <w:spacing w:after="40"/>
      </w:pPr>
      <w:r>
        <w:t>Artefactos entregables con trazabilidad hacia sus fuentes.</w:t>
      </w:r>
    </w:p>
    <w:p>
      <w:pPr>
        <w:pStyle w:val="ListBullet"/>
        <w:spacing w:after="40"/>
      </w:pPr>
      <w:r>
        <w:t>Revisión humana explícita antes de promover artefactos a stable.</w:t>
      </w:r>
    </w:p>
    <w:p>
      <w:pPr>
        <w:pStyle w:val="Heading1"/>
      </w:pPr>
      <w:r>
        <w:t>10. Entradas y salidas</w:t>
      </w:r>
    </w:p>
    <w:p>
      <w:r>
        <w:t>Salida canónica: Design-to-Code Context Pack. La entrada se toma del curso anterior o, en los laboratorios tecnológicos, de la UI Specification canónica de UX-102.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