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520" w:rsidRPr="00AD47D7" w:rsidRDefault="00C15520" w:rsidP="00C15520">
      <w:pPr>
        <w:pStyle w:val="NoSpacing"/>
        <w:rPr>
          <w:rFonts w:ascii="Times New Roman" w:hAnsi="Times New Roman" w:cs="Times New Roman"/>
          <w:b/>
          <w:sz w:val="24"/>
        </w:rPr>
      </w:pPr>
      <w:r w:rsidRPr="00AD47D7">
        <w:rPr>
          <w:rFonts w:ascii="Times New Roman" w:hAnsi="Times New Roman" w:cs="Times New Roman"/>
          <w:b/>
          <w:sz w:val="24"/>
        </w:rPr>
        <w:t>Beta carotene data, description and graph</w:t>
      </w:r>
    </w:p>
    <w:p w:rsidR="00C15520" w:rsidRDefault="00C15520" w:rsidP="00C15520">
      <w:pPr>
        <w:pStyle w:val="NoSpacing"/>
        <w:rPr>
          <w:rFonts w:ascii="Times New Roman" w:hAnsi="Times New Roman" w:cs="Times New Roman"/>
          <w:sz w:val="24"/>
        </w:rPr>
      </w:pPr>
    </w:p>
    <w:p w:rsidR="00C15520" w:rsidRDefault="00C15520" w:rsidP="00C15520">
      <w:pPr>
        <w:pStyle w:val="NoSpacing"/>
        <w:rPr>
          <w:rFonts w:ascii="Times New Roman" w:hAnsi="Times New Roman" w:cs="Times New Roman"/>
          <w:sz w:val="24"/>
        </w:rPr>
      </w:pPr>
      <w:r w:rsidRPr="00C15520">
        <w:rPr>
          <w:rFonts w:ascii="Times New Roman" w:hAnsi="Times New Roman" w:cs="Times New Roman"/>
          <w:sz w:val="24"/>
        </w:rPr>
        <w:t xml:space="preserve">(From </w:t>
      </w:r>
      <w:proofErr w:type="spellStart"/>
      <w:r w:rsidRPr="00C15520">
        <w:rPr>
          <w:rFonts w:ascii="Times New Roman" w:hAnsi="Times New Roman" w:cs="Times New Roman"/>
          <w:sz w:val="24"/>
        </w:rPr>
        <w:t>Rosner</w:t>
      </w:r>
      <w:proofErr w:type="spellEnd"/>
      <w:r w:rsidRPr="00C15520">
        <w:rPr>
          <w:rFonts w:ascii="Times New Roman" w:hAnsi="Times New Roman" w:cs="Times New Roman"/>
          <w:sz w:val="24"/>
        </w:rPr>
        <w:t xml:space="preserve">, 2006.)  A clinical trial was planned comparing the incidence of cancer in a group taking beta-carotene in capsule form compared with a group taking beta-carotene placebo capsules.  One issue in planning such a study is which preparation to use for the beta-carotene capsules.  Four preparations were considered: </w:t>
      </w:r>
    </w:p>
    <w:p w:rsidR="00C15520" w:rsidRPr="00C15520" w:rsidRDefault="00C15520" w:rsidP="00C15520">
      <w:pPr>
        <w:pStyle w:val="NoSpacing"/>
        <w:rPr>
          <w:rFonts w:ascii="Times New Roman" w:hAnsi="Times New Roman" w:cs="Times New Roman"/>
          <w:sz w:val="24"/>
        </w:rPr>
      </w:pPr>
      <w:r w:rsidRPr="00C15520">
        <w:rPr>
          <w:rFonts w:ascii="Times New Roman" w:hAnsi="Times New Roman" w:cs="Times New Roman"/>
          <w:sz w:val="24"/>
        </w:rPr>
        <w:t xml:space="preserve"> </w:t>
      </w:r>
    </w:p>
    <w:p w:rsidR="00C15520" w:rsidRPr="00C15520" w:rsidRDefault="00C15520" w:rsidP="00C15520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C15520">
        <w:rPr>
          <w:rFonts w:ascii="Times New Roman" w:hAnsi="Times New Roman" w:cs="Times New Roman"/>
          <w:sz w:val="24"/>
        </w:rPr>
        <w:t xml:space="preserve">(1) </w:t>
      </w:r>
      <w:proofErr w:type="spellStart"/>
      <w:r w:rsidRPr="00C15520">
        <w:rPr>
          <w:rFonts w:ascii="Times New Roman" w:hAnsi="Times New Roman" w:cs="Times New Roman"/>
          <w:sz w:val="24"/>
        </w:rPr>
        <w:t>Solatene</w:t>
      </w:r>
      <w:proofErr w:type="spellEnd"/>
      <w:r w:rsidRPr="00C15520">
        <w:rPr>
          <w:rFonts w:ascii="Times New Roman" w:hAnsi="Times New Roman" w:cs="Times New Roman"/>
          <w:sz w:val="24"/>
        </w:rPr>
        <w:t xml:space="preserve"> (30mg capsules)</w:t>
      </w:r>
    </w:p>
    <w:p w:rsidR="00C15520" w:rsidRPr="00C15520" w:rsidRDefault="00C15520" w:rsidP="00C15520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C15520">
        <w:rPr>
          <w:rFonts w:ascii="Times New Roman" w:hAnsi="Times New Roman" w:cs="Times New Roman"/>
          <w:sz w:val="24"/>
        </w:rPr>
        <w:t>(2) Roche (60mg capsules)</w:t>
      </w:r>
    </w:p>
    <w:p w:rsidR="00C15520" w:rsidRPr="00C15520" w:rsidRDefault="00C15520" w:rsidP="00C15520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C15520">
        <w:rPr>
          <w:rFonts w:ascii="Times New Roman" w:hAnsi="Times New Roman" w:cs="Times New Roman"/>
          <w:sz w:val="24"/>
        </w:rPr>
        <w:t>(3) BASF (30mg capsules)</w:t>
      </w:r>
    </w:p>
    <w:p w:rsidR="00C15520" w:rsidRPr="00C15520" w:rsidRDefault="00C15520" w:rsidP="00C15520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C15520">
        <w:rPr>
          <w:rFonts w:ascii="Times New Roman" w:hAnsi="Times New Roman" w:cs="Times New Roman"/>
          <w:sz w:val="24"/>
        </w:rPr>
        <w:t>(4) BASF (60mg capsules).</w:t>
      </w:r>
    </w:p>
    <w:p w:rsidR="00C15520" w:rsidRDefault="00C15520" w:rsidP="00C15520">
      <w:pPr>
        <w:pStyle w:val="NoSpacing"/>
        <w:rPr>
          <w:rFonts w:ascii="Times New Roman" w:hAnsi="Times New Roman" w:cs="Times New Roman"/>
          <w:sz w:val="24"/>
        </w:rPr>
      </w:pPr>
    </w:p>
    <w:p w:rsidR="00BC4564" w:rsidRDefault="00C15520" w:rsidP="00C15520">
      <w:pPr>
        <w:pStyle w:val="NoSpacing"/>
        <w:rPr>
          <w:rFonts w:ascii="Times New Roman" w:hAnsi="Times New Roman" w:cs="Times New Roman"/>
          <w:sz w:val="24"/>
        </w:rPr>
      </w:pPr>
      <w:r w:rsidRPr="00C15520">
        <w:rPr>
          <w:rFonts w:ascii="Times New Roman" w:hAnsi="Times New Roman" w:cs="Times New Roman"/>
          <w:sz w:val="24"/>
        </w:rPr>
        <w:t>To test efficacy of the four agents in raising plasma-carotene levels, a small bioavailability study was conducted.  After two consecutive-day fasting blood samples, 23 volunteers were randomized to one of the four preparations mentioned above, taking 1 pill every other day for 12 weeks.  The primary endpoint was level of plasma carotene attained after moderately prolonged steady ingestion</w:t>
      </w:r>
      <w:r w:rsidR="00AD47D7">
        <w:rPr>
          <w:rFonts w:ascii="Times New Roman" w:hAnsi="Times New Roman" w:cs="Times New Roman"/>
          <w:sz w:val="24"/>
        </w:rPr>
        <w:t xml:space="preserve"> (y)</w:t>
      </w:r>
      <w:bookmarkStart w:id="0" w:name="_GoBack"/>
      <w:bookmarkEnd w:id="0"/>
      <w:r w:rsidRPr="00C15520">
        <w:rPr>
          <w:rFonts w:ascii="Times New Roman" w:hAnsi="Times New Roman" w:cs="Times New Roman"/>
          <w:sz w:val="24"/>
        </w:rPr>
        <w:t xml:space="preserve">.  For this purpose, blood samples were drawn at </w:t>
      </w:r>
      <w:r>
        <w:rPr>
          <w:rFonts w:ascii="Times New Roman" w:hAnsi="Times New Roman" w:cs="Times New Roman"/>
          <w:sz w:val="24"/>
        </w:rPr>
        <w:t xml:space="preserve">0, </w:t>
      </w:r>
      <w:r w:rsidRPr="00C15520">
        <w:rPr>
          <w:rFonts w:ascii="Times New Roman" w:hAnsi="Times New Roman" w:cs="Times New Roman"/>
          <w:sz w:val="24"/>
        </w:rPr>
        <w:t>6, 8, 10 and 12 weeks.</w:t>
      </w:r>
    </w:p>
    <w:p w:rsidR="00C15520" w:rsidRDefault="00C15520" w:rsidP="00C15520">
      <w:pPr>
        <w:pStyle w:val="NoSpacing"/>
        <w:rPr>
          <w:rFonts w:ascii="Times New Roman" w:hAnsi="Times New Roman" w:cs="Times New Roman"/>
          <w:sz w:val="24"/>
        </w:rPr>
      </w:pPr>
    </w:p>
    <w:p w:rsidR="00C15520" w:rsidRDefault="00C15520" w:rsidP="00C15520">
      <w:pPr>
        <w:autoSpaceDE w:val="0"/>
        <w:autoSpaceDN w:val="0"/>
        <w:adjustRightInd w:val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8"/>
        <w:gridCol w:w="630"/>
      </w:tblGrid>
      <w:tr w:rsidR="00C15520" w:rsidTr="00DE4A57">
        <w:trPr>
          <w:jc w:val="center"/>
        </w:trPr>
        <w:tc>
          <w:tcPr>
            <w:tcW w:w="5688" w:type="dxa"/>
          </w:tcPr>
          <w:p w:rsidR="00C15520" w:rsidRDefault="00C15520" w:rsidP="00DE4A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21943CA" wp14:editId="6E4A5A7F">
                  <wp:extent cx="3468370" cy="263334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370" cy="2633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C15520" w:rsidRDefault="00C15520" w:rsidP="00DE4A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C15520" w:rsidRDefault="00C15520" w:rsidP="00DE4A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C15520" w:rsidRDefault="00C15520" w:rsidP="00DE4A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C15520" w:rsidRDefault="00C15520" w:rsidP="00DE4A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  <w:p w:rsidR="00C15520" w:rsidRDefault="00C15520" w:rsidP="00DE4A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C15520" w:rsidRDefault="00C15520" w:rsidP="00DE4A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4</w:t>
            </w:r>
          </w:p>
          <w:p w:rsidR="00C15520" w:rsidRDefault="00C15520" w:rsidP="00DE4A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  <w:p w:rsidR="00C15520" w:rsidRDefault="00C15520" w:rsidP="00DE4A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C15520" w:rsidRDefault="00C15520" w:rsidP="00DE4A5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C15520" w:rsidRDefault="00C15520" w:rsidP="00DE4A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C15520" w:rsidRDefault="00C15520" w:rsidP="00DE4A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</w:tr>
    </w:tbl>
    <w:p w:rsidR="00C15520" w:rsidRDefault="00C15520" w:rsidP="00C1552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5520" w:rsidRPr="00C15520" w:rsidRDefault="00C15520" w:rsidP="00C15520">
      <w:pPr>
        <w:pStyle w:val="NoSpacing"/>
        <w:rPr>
          <w:rFonts w:ascii="Times New Roman" w:hAnsi="Times New Roman" w:cs="Times New Roman"/>
          <w:sz w:val="24"/>
        </w:rPr>
      </w:pPr>
    </w:p>
    <w:sectPr w:rsidR="00C15520" w:rsidRPr="00C1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20"/>
    <w:rsid w:val="00AD47D7"/>
    <w:rsid w:val="00BC4564"/>
    <w:rsid w:val="00C1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DB68A-8FC0-4D2B-9933-2914DD82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5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520"/>
    <w:pPr>
      <w:spacing w:after="0" w:line="240" w:lineRule="auto"/>
    </w:pPr>
  </w:style>
  <w:style w:type="table" w:styleId="TableGrid">
    <w:name w:val="Table Grid"/>
    <w:basedOn w:val="TableNormal"/>
    <w:rsid w:val="00C155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>National Jewish Health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Matthew</dc:creator>
  <cp:keywords/>
  <dc:description/>
  <cp:lastModifiedBy>Strand, Matthew</cp:lastModifiedBy>
  <cp:revision>2</cp:revision>
  <dcterms:created xsi:type="dcterms:W3CDTF">2018-09-19T14:27:00Z</dcterms:created>
  <dcterms:modified xsi:type="dcterms:W3CDTF">2018-09-19T14:37:00Z</dcterms:modified>
</cp:coreProperties>
</file>