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line="360" w:lineRule="auto"/>
        <w:jc w:val="center"/>
      </w:pPr>
      <w:r>
        <w:rPr>
          <w:rFonts w:ascii="Times New Roman" w:hAnsi="Times New Roman"/>
          <w:b/>
          <w:i w:val="0"/>
          <w:sz w:val="28"/>
        </w:rPr>
        <w:t>UNIVERSAL TECHNOLOGY AND MANAGEMENT UNIVERSITY</w:t>
      </w:r>
    </w:p>
    <w:p>
      <w:pPr>
        <w:spacing w:after="120" w:line="360" w:lineRule="auto"/>
        <w:jc w:val="center"/>
      </w:pPr>
      <w:r>
        <w:rPr>
          <w:rFonts w:ascii="Times New Roman" w:hAnsi="Times New Roman"/>
          <w:b/>
          <w:i w:val="0"/>
          <w:sz w:val="24"/>
        </w:rPr>
        <w:t>FACULTY OF COMPUTING AND ENGINEERING</w:t>
      </w:r>
    </w:p>
    <w:p>
      <w:pPr>
        <w:spacing w:after="120" w:line="360" w:lineRule="auto"/>
        <w:jc w:val="center"/>
      </w:pPr>
      <w:r>
        <w:rPr>
          <w:rFonts w:ascii="Times New Roman" w:hAnsi="Times New Roman"/>
          <w:b/>
          <w:i w:val="0"/>
          <w:sz w:val="24"/>
        </w:rPr>
        <w:t>DEPARTMENT OF COMPUTING</w:t>
      </w:r>
    </w:p>
    <w:p>
      <w:pPr>
        <w:spacing w:after="120" w:line="360" w:lineRule="auto"/>
        <w:jc w:val="center"/>
      </w:pPr>
      <w:r>
        <w:rPr>
          <w:rFonts w:ascii="Times New Roman" w:hAnsi="Times New Roman"/>
          <w:b/>
          <w:i w:val="0"/>
          <w:sz w:val="24"/>
        </w:rPr>
        <w:t>MASTERS OF SCIENCE IN ARTIFICIAL INTELLIGENCE AND DATA SCIENCE</w:t>
      </w:r>
    </w:p>
    <w:p/>
    <w:p>
      <w:pPr>
        <w:spacing w:after="120" w:line="360" w:lineRule="auto"/>
        <w:jc w:val="center"/>
      </w:pPr>
      <w:r>
        <w:rPr>
          <w:rFonts w:ascii="Times New Roman" w:hAnsi="Times New Roman"/>
          <w:b/>
          <w:i w:val="0"/>
          <w:sz w:val="32"/>
        </w:rPr>
        <w:t>AUTOMATIC DETECTION OF ACUTE MYELOBLASTIC LEUKEMIA</w:t>
        <w:br/>
        <w:t>USING ALNET DEEP LEARNING MODEL</w:t>
      </w:r>
    </w:p>
    <w:p/>
    <w:p>
      <w:pPr>
        <w:spacing w:after="120" w:line="360" w:lineRule="auto"/>
        <w:jc w:val="center"/>
      </w:pPr>
      <w:r>
        <w:rPr>
          <w:rFonts w:ascii="Times New Roman" w:hAnsi="Times New Roman"/>
          <w:b/>
          <w:i w:val="0"/>
          <w:sz w:val="28"/>
        </w:rPr>
        <w:t>FINAL CAPSTONE REPORT</w:t>
      </w:r>
    </w:p>
    <w:p/>
    <w:p>
      <w:pPr>
        <w:spacing w:after="120" w:line="360" w:lineRule="auto"/>
        <w:jc w:val="center"/>
      </w:pPr>
      <w:r>
        <w:rPr>
          <w:rFonts w:ascii="Times New Roman" w:hAnsi="Times New Roman"/>
          <w:b w:val="0"/>
          <w:i w:val="0"/>
          <w:sz w:val="24"/>
        </w:rPr>
        <w:t>STUDENT NAME: BIRYOMUMEISHO JOSHUA</w:t>
      </w:r>
    </w:p>
    <w:p>
      <w:pPr>
        <w:spacing w:after="120" w:line="360" w:lineRule="auto"/>
        <w:jc w:val="center"/>
      </w:pPr>
      <w:r>
        <w:rPr>
          <w:rFonts w:ascii="Times New Roman" w:hAnsi="Times New Roman"/>
          <w:b w:val="0"/>
          <w:i w:val="0"/>
          <w:sz w:val="24"/>
        </w:rPr>
        <w:t>STUDENT REG.NO: JAN26/MAIDS/0819U</w:t>
      </w:r>
    </w:p>
    <w:p>
      <w:pPr>
        <w:spacing w:after="120" w:line="360" w:lineRule="auto"/>
        <w:jc w:val="center"/>
      </w:pPr>
      <w:r>
        <w:rPr>
          <w:rFonts w:ascii="Times New Roman" w:hAnsi="Times New Roman"/>
          <w:b w:val="0"/>
          <w:i w:val="0"/>
          <w:sz w:val="24"/>
        </w:rPr>
        <w:t>SUPERVISOR: DR. KASSIM KALINAKI (PhD)</w:t>
      </w:r>
    </w:p>
    <w:p/>
    <w:p>
      <w:pPr>
        <w:spacing w:after="120" w:line="360" w:lineRule="auto"/>
        <w:jc w:val="center"/>
      </w:pPr>
      <w:r>
        <w:rPr>
          <w:rFonts w:ascii="Times New Roman" w:hAnsi="Times New Roman"/>
          <w:b w:val="0"/>
          <w:i w:val="0"/>
          <w:sz w:val="24"/>
        </w:rPr>
        <w:t>August, 2026</w:t>
      </w:r>
    </w:p>
    <w:p>
      <w:r>
        <w:br w:type="page"/>
      </w:r>
    </w:p>
    <w:p>
      <w:pPr>
        <w:pStyle w:val="Heading1"/>
      </w:pPr>
      <w:r>
        <w:rPr>
          <w:color w:val="000000"/>
        </w:rPr>
        <w:t>ABSTRACT</w:t>
      </w:r>
    </w:p>
    <w:p>
      <w:pPr>
        <w:spacing w:after="120" w:line="360" w:lineRule="auto"/>
      </w:pPr>
      <w:r>
        <w:rPr>
          <w:rFonts w:ascii="Times New Roman" w:hAnsi="Times New Roman"/>
          <w:b w:val="0"/>
          <w:i w:val="0"/>
          <w:sz w:val="24"/>
        </w:rPr>
        <w:t>Acute Myeloblastic Leukemia (AML) is an aggressive haematological malignancy requiring rapid and accurate diagnosis for effective treatment. In low- and middle-income countries (LMICs) including Uganda, diagnostic delays caused by limited access to haematopathologists and advanced laboratory infrastructure contribute to poor patient outcomes. This study presents ALNet (Acute Leukemia Network), a lightweight deep learning model designed for automated AML screening from peripheral blood smear images. ALNet employs depthwise separable convolutions combined with localized sparse multi-head self-attention to extract morphological features while maintaining a compact parameter footprint of only 27,393 trainable parameters suitable for deployment on standard laboratory hardware.</w:t>
      </w:r>
    </w:p>
    <w:p>
      <w:pPr>
        <w:spacing w:after="120" w:line="360" w:lineRule="auto"/>
      </w:pPr>
      <w:r>
        <w:rPr>
          <w:rFonts w:ascii="Times New Roman" w:hAnsi="Times New Roman"/>
          <w:b w:val="0"/>
          <w:i w:val="0"/>
          <w:sz w:val="24"/>
        </w:rPr>
        <w:t>The model was trained on 2,000 single-cell blood smear images from the Kaggle blood cell dataset (Singh, 2024), comprising 1,000 monocytes (non-AML) and 1,000 myeloblasts (AML-positive). A critical preprocessing innovation was the application of Reinhard stain normalization in CIE LAB colour space to eliminate staining variability across images. Pre-normalization diagnostic analysis revealed that the two classes were 98.2% separable by red-to-blue pixel ratio alone — a colour artefact that any classifier would exploit as a shortcut rather than learning morphological features. Reinhard normalization reduced colour-based separability to 50.0% (random chance), ensuring the model learned genuine haematological features.</w:t>
      </w:r>
    </w:p>
    <w:p>
      <w:pPr>
        <w:spacing w:after="120" w:line="360" w:lineRule="auto"/>
      </w:pPr>
      <w:r>
        <w:rPr>
          <w:rFonts w:ascii="Times New Roman" w:hAnsi="Times New Roman"/>
          <w:b w:val="0"/>
          <w:i w:val="0"/>
          <w:sz w:val="24"/>
        </w:rPr>
        <w:t>The dataset was partitioned into training (70%, n=1,400), validation (15%, n=300), and test (15%, n=300) sets using stratified random sampling. ALNet was trained locally on an NVIDIA GeForce GTX 1650 GPU (4 GB VRAM) using mixed-precision training with Weighted Focal Loss, online augmentation, and early stopping. The model achieved perfect classification on the held-out test set: 100.0% accuracy, AUC-ROC of 1.000, F1-score of 1.000, with zero false positives and zero false negatives across all 300 test images. Monocyte predictions had a mean confidence of 0.989 and myeloblast predictions had a mean confidence of 0.973. The model maintained perfect precision (100.0%) with zero false positives at every threshold from 0.10 to 0.90.</w:t>
      </w:r>
    </w:p>
    <w:p>
      <w:pPr>
        <w:spacing w:after="120" w:line="360" w:lineRule="auto"/>
      </w:pPr>
      <w:r>
        <w:rPr>
          <w:rFonts w:ascii="Times New Roman" w:hAnsi="Times New Roman"/>
          <w:b w:val="0"/>
          <w:i w:val="0"/>
          <w:sz w:val="24"/>
        </w:rPr>
        <w:t>A desktop decision-support application was developed using CustomTkinter and packaged as a standalone executable for one-click deployment in clinical laboratory settings. The application provides image loading, automated preprocessing, real-time AML screening with confidence scores, and SQLite-based session logging for audit trail purposes. The compact model size (136 KB on disk) enables near-instantaneous inference on standard CPU hardware. The results demonstrate that lightweight, domain-specific architectures combined with rigorous stain normalization can achieve state-of-the-art performance in automated AML screening, making AI-assisted diagnosis feasible in resource-constrained clinical environments.</w:t>
      </w:r>
    </w:p>
    <w:p>
      <w:r>
        <w:br w:type="page"/>
      </w:r>
    </w:p>
    <w:p>
      <w:pPr>
        <w:pStyle w:val="Heading1"/>
      </w:pPr>
      <w:r>
        <w:rPr>
          <w:color w:val="000000"/>
        </w:rPr>
        <w:t>TABLE OF CONTENTS</w:t>
      </w:r>
    </w:p>
    <w:p>
      <w:pPr>
        <w:spacing w:after="120" w:line="360" w:lineRule="auto"/>
      </w:pPr>
      <w:r>
        <w:rPr>
          <w:rFonts w:ascii="Times New Roman" w:hAnsi="Times New Roman"/>
          <w:b w:val="0"/>
          <w:i w:val="0"/>
          <w:sz w:val="22"/>
        </w:rPr>
        <w:t>ABSTRACT</w:t>
      </w:r>
    </w:p>
    <w:p>
      <w:pPr>
        <w:spacing w:after="120" w:line="360" w:lineRule="auto"/>
      </w:pPr>
      <w:r>
        <w:rPr>
          <w:rFonts w:ascii="Times New Roman" w:hAnsi="Times New Roman"/>
          <w:b w:val="0"/>
          <w:i w:val="0"/>
          <w:sz w:val="22"/>
        </w:rPr>
        <w:t>LIST OF TABLES</w:t>
      </w:r>
    </w:p>
    <w:p>
      <w:pPr>
        <w:spacing w:after="120" w:line="360" w:lineRule="auto"/>
      </w:pPr>
      <w:r>
        <w:rPr>
          <w:rFonts w:ascii="Times New Roman" w:hAnsi="Times New Roman"/>
          <w:b w:val="0"/>
          <w:i w:val="0"/>
          <w:sz w:val="22"/>
        </w:rPr>
        <w:t>LIST OF FIGURES</w:t>
      </w:r>
    </w:p>
    <w:p>
      <w:pPr>
        <w:spacing w:after="120" w:line="360" w:lineRule="auto"/>
      </w:pPr>
      <w:r>
        <w:rPr>
          <w:rFonts w:ascii="Times New Roman" w:hAnsi="Times New Roman"/>
          <w:b w:val="0"/>
          <w:i w:val="0"/>
          <w:sz w:val="22"/>
        </w:rPr>
        <w:t>ABBREVIATIONS</w:t>
      </w:r>
    </w:p>
    <w:p>
      <w:pPr>
        <w:spacing w:after="120" w:line="360" w:lineRule="auto"/>
      </w:pPr>
      <w:r>
        <w:rPr>
          <w:rFonts w:ascii="Times New Roman" w:hAnsi="Times New Roman"/>
          <w:b w:val="0"/>
          <w:i w:val="0"/>
          <w:sz w:val="22"/>
        </w:rPr>
        <w:t>CHAPTER 1: INTRODUCTION</w:t>
      </w:r>
    </w:p>
    <w:p>
      <w:pPr>
        <w:spacing w:after="120" w:line="360" w:lineRule="auto"/>
      </w:pPr>
      <w:r>
        <w:rPr>
          <w:rFonts w:ascii="Times New Roman" w:hAnsi="Times New Roman"/>
          <w:b w:val="0"/>
          <w:i w:val="0"/>
          <w:sz w:val="22"/>
        </w:rPr>
        <w:t xml:space="preserve">  1.1 Background</w:t>
      </w:r>
    </w:p>
    <w:p>
      <w:pPr>
        <w:spacing w:after="120" w:line="360" w:lineRule="auto"/>
      </w:pPr>
      <w:r>
        <w:rPr>
          <w:rFonts w:ascii="Times New Roman" w:hAnsi="Times New Roman"/>
          <w:b w:val="0"/>
          <w:i w:val="0"/>
          <w:sz w:val="22"/>
        </w:rPr>
        <w:t xml:space="preserve">  1.2 Problem Statement</w:t>
      </w:r>
    </w:p>
    <w:p>
      <w:pPr>
        <w:spacing w:after="120" w:line="360" w:lineRule="auto"/>
      </w:pPr>
      <w:r>
        <w:rPr>
          <w:rFonts w:ascii="Times New Roman" w:hAnsi="Times New Roman"/>
          <w:b w:val="0"/>
          <w:i w:val="0"/>
          <w:sz w:val="22"/>
        </w:rPr>
        <w:t xml:space="preserve">  1.3 Objectives</w:t>
      </w:r>
    </w:p>
    <w:p>
      <w:pPr>
        <w:spacing w:after="120" w:line="360" w:lineRule="auto"/>
      </w:pPr>
      <w:r>
        <w:rPr>
          <w:rFonts w:ascii="Times New Roman" w:hAnsi="Times New Roman"/>
          <w:b w:val="0"/>
          <w:i w:val="0"/>
          <w:sz w:val="22"/>
        </w:rPr>
        <w:t xml:space="preserve">  1.4 Research Questions</w:t>
      </w:r>
    </w:p>
    <w:p>
      <w:pPr>
        <w:spacing w:after="120" w:line="360" w:lineRule="auto"/>
      </w:pPr>
      <w:r>
        <w:rPr>
          <w:rFonts w:ascii="Times New Roman" w:hAnsi="Times New Roman"/>
          <w:b w:val="0"/>
          <w:i w:val="0"/>
          <w:sz w:val="22"/>
        </w:rPr>
        <w:t xml:space="preserve">  1.5 Scope</w:t>
      </w:r>
    </w:p>
    <w:p>
      <w:pPr>
        <w:spacing w:after="120" w:line="360" w:lineRule="auto"/>
      </w:pPr>
      <w:r>
        <w:rPr>
          <w:rFonts w:ascii="Times New Roman" w:hAnsi="Times New Roman"/>
          <w:b w:val="0"/>
          <w:i w:val="0"/>
          <w:sz w:val="22"/>
        </w:rPr>
        <w:t xml:space="preserve">  1.6 Significance</w:t>
      </w:r>
    </w:p>
    <w:p>
      <w:pPr>
        <w:spacing w:after="120" w:line="360" w:lineRule="auto"/>
      </w:pPr>
      <w:r>
        <w:rPr>
          <w:rFonts w:ascii="Times New Roman" w:hAnsi="Times New Roman"/>
          <w:b w:val="0"/>
          <w:i w:val="0"/>
          <w:sz w:val="22"/>
        </w:rPr>
        <w:t>CHAPTER 2: LITERATURE REVIEW</w:t>
      </w:r>
    </w:p>
    <w:p>
      <w:pPr>
        <w:spacing w:after="120" w:line="360" w:lineRule="auto"/>
      </w:pPr>
      <w:r>
        <w:rPr>
          <w:rFonts w:ascii="Times New Roman" w:hAnsi="Times New Roman"/>
          <w:b w:val="0"/>
          <w:i w:val="0"/>
          <w:sz w:val="22"/>
        </w:rPr>
        <w:t xml:space="preserve">  2.1 Overview of AI and Leukemia</w:t>
      </w:r>
    </w:p>
    <w:p>
      <w:pPr>
        <w:spacing w:after="120" w:line="360" w:lineRule="auto"/>
      </w:pPr>
      <w:r>
        <w:rPr>
          <w:rFonts w:ascii="Times New Roman" w:hAnsi="Times New Roman"/>
          <w:b w:val="0"/>
          <w:i w:val="0"/>
          <w:sz w:val="22"/>
        </w:rPr>
        <w:t xml:space="preserve">  2.2 Non-AI Detection Methods</w:t>
      </w:r>
    </w:p>
    <w:p>
      <w:pPr>
        <w:spacing w:after="120" w:line="360" w:lineRule="auto"/>
      </w:pPr>
      <w:r>
        <w:rPr>
          <w:rFonts w:ascii="Times New Roman" w:hAnsi="Times New Roman"/>
          <w:b w:val="0"/>
          <w:i w:val="0"/>
          <w:sz w:val="22"/>
        </w:rPr>
        <w:t xml:space="preserve">  2.3 AI-Based Automated Detection</w:t>
      </w:r>
    </w:p>
    <w:p>
      <w:pPr>
        <w:spacing w:after="120" w:line="360" w:lineRule="auto"/>
      </w:pPr>
      <w:r>
        <w:rPr>
          <w:rFonts w:ascii="Times New Roman" w:hAnsi="Times New Roman"/>
          <w:b w:val="0"/>
          <w:i w:val="0"/>
          <w:sz w:val="22"/>
        </w:rPr>
        <w:t xml:space="preserve">  2.4 Stain Normalization in Haematological Imaging</w:t>
      </w:r>
    </w:p>
    <w:p>
      <w:pPr>
        <w:spacing w:after="120" w:line="360" w:lineRule="auto"/>
      </w:pPr>
      <w:r>
        <w:rPr>
          <w:rFonts w:ascii="Times New Roman" w:hAnsi="Times New Roman"/>
          <w:b w:val="0"/>
          <w:i w:val="0"/>
          <w:sz w:val="22"/>
        </w:rPr>
        <w:t xml:space="preserve">  2.5 Existing Diagnostic Methods</w:t>
      </w:r>
    </w:p>
    <w:p>
      <w:pPr>
        <w:spacing w:after="120" w:line="360" w:lineRule="auto"/>
      </w:pPr>
      <w:r>
        <w:rPr>
          <w:rFonts w:ascii="Times New Roman" w:hAnsi="Times New Roman"/>
          <w:b w:val="0"/>
          <w:i w:val="0"/>
          <w:sz w:val="22"/>
        </w:rPr>
        <w:t xml:space="preserve">  2.6 Research Gap</w:t>
      </w:r>
    </w:p>
    <w:p>
      <w:pPr>
        <w:spacing w:after="120" w:line="360" w:lineRule="auto"/>
      </w:pPr>
      <w:r>
        <w:rPr>
          <w:rFonts w:ascii="Times New Roman" w:hAnsi="Times New Roman"/>
          <w:b w:val="0"/>
          <w:i w:val="0"/>
          <w:sz w:val="22"/>
        </w:rPr>
        <w:t>CHAPTER 3: METHODOLOGY AND IMPLEMENTATION</w:t>
      </w:r>
    </w:p>
    <w:p>
      <w:pPr>
        <w:spacing w:after="120" w:line="360" w:lineRule="auto"/>
      </w:pPr>
      <w:r>
        <w:rPr>
          <w:rFonts w:ascii="Times New Roman" w:hAnsi="Times New Roman"/>
          <w:b w:val="0"/>
          <w:i w:val="0"/>
          <w:sz w:val="22"/>
        </w:rPr>
        <w:t xml:space="preserve">  3.1 Dataset Selection and Configuration</w:t>
      </w:r>
    </w:p>
    <w:p>
      <w:pPr>
        <w:spacing w:after="120" w:line="360" w:lineRule="auto"/>
      </w:pPr>
      <w:r>
        <w:rPr>
          <w:rFonts w:ascii="Times New Roman" w:hAnsi="Times New Roman"/>
          <w:b w:val="0"/>
          <w:i w:val="0"/>
          <w:sz w:val="22"/>
        </w:rPr>
        <w:t xml:space="preserve">  3.2 Stain Normalization Pipeline</w:t>
      </w:r>
    </w:p>
    <w:p>
      <w:pPr>
        <w:spacing w:after="120" w:line="360" w:lineRule="auto"/>
      </w:pPr>
      <w:r>
        <w:rPr>
          <w:rFonts w:ascii="Times New Roman" w:hAnsi="Times New Roman"/>
          <w:b w:val="0"/>
          <w:i w:val="0"/>
          <w:sz w:val="22"/>
        </w:rPr>
        <w:t xml:space="preserve">  3.3 ALNet Architecture</w:t>
      </w:r>
    </w:p>
    <w:p>
      <w:pPr>
        <w:spacing w:after="120" w:line="360" w:lineRule="auto"/>
      </w:pPr>
      <w:r>
        <w:rPr>
          <w:rFonts w:ascii="Times New Roman" w:hAnsi="Times New Roman"/>
          <w:b w:val="0"/>
          <w:i w:val="0"/>
          <w:sz w:val="22"/>
        </w:rPr>
        <w:t xml:space="preserve">  3.4 Training Configuration</w:t>
      </w:r>
    </w:p>
    <w:p>
      <w:pPr>
        <w:spacing w:after="120" w:line="360" w:lineRule="auto"/>
      </w:pPr>
      <w:r>
        <w:rPr>
          <w:rFonts w:ascii="Times New Roman" w:hAnsi="Times New Roman"/>
          <w:b w:val="0"/>
          <w:i w:val="0"/>
          <w:sz w:val="22"/>
        </w:rPr>
        <w:t xml:space="preserve">  3.5 Evaluation Metrics</w:t>
      </w:r>
    </w:p>
    <w:p>
      <w:pPr>
        <w:spacing w:after="120" w:line="360" w:lineRule="auto"/>
      </w:pPr>
      <w:r>
        <w:rPr>
          <w:rFonts w:ascii="Times New Roman" w:hAnsi="Times New Roman"/>
          <w:b w:val="0"/>
          <w:i w:val="0"/>
          <w:sz w:val="22"/>
        </w:rPr>
        <w:t xml:space="preserve">  3.6 Desktop Application Implementation</w:t>
      </w:r>
    </w:p>
    <w:p>
      <w:pPr>
        <w:spacing w:after="120" w:line="360" w:lineRule="auto"/>
      </w:pPr>
      <w:r>
        <w:rPr>
          <w:rFonts w:ascii="Times New Roman" w:hAnsi="Times New Roman"/>
          <w:b w:val="0"/>
          <w:i w:val="0"/>
          <w:sz w:val="22"/>
        </w:rPr>
        <w:t>CHAPTER 4: RESULTS AND INTERPRETATION</w:t>
      </w:r>
    </w:p>
    <w:p>
      <w:pPr>
        <w:spacing w:after="120" w:line="360" w:lineRule="auto"/>
      </w:pPr>
      <w:r>
        <w:rPr>
          <w:rFonts w:ascii="Times New Roman" w:hAnsi="Times New Roman"/>
          <w:b w:val="0"/>
          <w:i w:val="0"/>
          <w:sz w:val="22"/>
        </w:rPr>
        <w:t xml:space="preserve">  4.1 Dataset Characteristics and Diagnostic Analysis</w:t>
      </w:r>
    </w:p>
    <w:p>
      <w:pPr>
        <w:spacing w:after="120" w:line="360" w:lineRule="auto"/>
      </w:pPr>
      <w:r>
        <w:rPr>
          <w:rFonts w:ascii="Times New Roman" w:hAnsi="Times New Roman"/>
          <w:b w:val="0"/>
          <w:i w:val="0"/>
          <w:sz w:val="22"/>
        </w:rPr>
        <w:t xml:space="preserve">  4.2 Stain Normalization Outcomes</w:t>
      </w:r>
    </w:p>
    <w:p>
      <w:pPr>
        <w:spacing w:after="120" w:line="360" w:lineRule="auto"/>
      </w:pPr>
      <w:r>
        <w:rPr>
          <w:rFonts w:ascii="Times New Roman" w:hAnsi="Times New Roman"/>
          <w:b w:val="0"/>
          <w:i w:val="0"/>
          <w:sz w:val="22"/>
        </w:rPr>
        <w:t xml:space="preserve">  4.3 Model Training</w:t>
      </w:r>
    </w:p>
    <w:p>
      <w:pPr>
        <w:spacing w:after="120" w:line="360" w:lineRule="auto"/>
      </w:pPr>
      <w:r>
        <w:rPr>
          <w:rFonts w:ascii="Times New Roman" w:hAnsi="Times New Roman"/>
          <w:b w:val="0"/>
          <w:i w:val="0"/>
          <w:sz w:val="22"/>
        </w:rPr>
        <w:t xml:space="preserve">  4.4 Evaluation on Test Set</w:t>
      </w:r>
    </w:p>
    <w:p>
      <w:pPr>
        <w:spacing w:after="120" w:line="360" w:lineRule="auto"/>
      </w:pPr>
      <w:r>
        <w:rPr>
          <w:rFonts w:ascii="Times New Roman" w:hAnsi="Times New Roman"/>
          <w:b w:val="0"/>
          <w:i w:val="0"/>
          <w:sz w:val="22"/>
        </w:rPr>
        <w:t xml:space="preserve">  4.5 Threshold Analysis</w:t>
      </w:r>
    </w:p>
    <w:p>
      <w:pPr>
        <w:spacing w:after="120" w:line="360" w:lineRule="auto"/>
      </w:pPr>
      <w:r>
        <w:rPr>
          <w:rFonts w:ascii="Times New Roman" w:hAnsi="Times New Roman"/>
          <w:b w:val="0"/>
          <w:i w:val="0"/>
          <w:sz w:val="22"/>
        </w:rPr>
        <w:t xml:space="preserve">  4.6 Desktop Application</w:t>
      </w:r>
    </w:p>
    <w:p>
      <w:pPr>
        <w:spacing w:after="120" w:line="360" w:lineRule="auto"/>
      </w:pPr>
      <w:r>
        <w:rPr>
          <w:rFonts w:ascii="Times New Roman" w:hAnsi="Times New Roman"/>
          <w:b w:val="0"/>
          <w:i w:val="0"/>
          <w:sz w:val="22"/>
        </w:rPr>
        <w:t xml:space="preserve">  4.7 Discussion</w:t>
      </w:r>
    </w:p>
    <w:p>
      <w:pPr>
        <w:spacing w:after="120" w:line="360" w:lineRule="auto"/>
      </w:pPr>
      <w:r>
        <w:rPr>
          <w:rFonts w:ascii="Times New Roman" w:hAnsi="Times New Roman"/>
          <w:b w:val="0"/>
          <w:i w:val="0"/>
          <w:sz w:val="22"/>
        </w:rPr>
        <w:t>CHAPTER 5: CONCLUSION AND RECOMMENDATIONS</w:t>
      </w:r>
    </w:p>
    <w:p>
      <w:pPr>
        <w:spacing w:after="120" w:line="360" w:lineRule="auto"/>
      </w:pPr>
      <w:r>
        <w:rPr>
          <w:rFonts w:ascii="Times New Roman" w:hAnsi="Times New Roman"/>
          <w:b w:val="0"/>
          <w:i w:val="0"/>
          <w:sz w:val="22"/>
        </w:rPr>
        <w:t xml:space="preserve">  5.1 Achievement of Objectives</w:t>
      </w:r>
    </w:p>
    <w:p>
      <w:pPr>
        <w:spacing w:after="120" w:line="360" w:lineRule="auto"/>
      </w:pPr>
      <w:r>
        <w:rPr>
          <w:rFonts w:ascii="Times New Roman" w:hAnsi="Times New Roman"/>
          <w:b w:val="0"/>
          <w:i w:val="0"/>
          <w:sz w:val="22"/>
        </w:rPr>
        <w:t xml:space="preserve">  5.2 Answering the Research Questions</w:t>
      </w:r>
    </w:p>
    <w:p>
      <w:pPr>
        <w:spacing w:after="120" w:line="360" w:lineRule="auto"/>
      </w:pPr>
      <w:r>
        <w:rPr>
          <w:rFonts w:ascii="Times New Roman" w:hAnsi="Times New Roman"/>
          <w:b w:val="0"/>
          <w:i w:val="0"/>
          <w:sz w:val="22"/>
        </w:rPr>
        <w:t xml:space="preserve">  5.3 Limitations</w:t>
      </w:r>
    </w:p>
    <w:p>
      <w:pPr>
        <w:spacing w:after="120" w:line="360" w:lineRule="auto"/>
      </w:pPr>
      <w:r>
        <w:rPr>
          <w:rFonts w:ascii="Times New Roman" w:hAnsi="Times New Roman"/>
          <w:b w:val="0"/>
          <w:i w:val="0"/>
          <w:sz w:val="22"/>
        </w:rPr>
        <w:t xml:space="preserve">  5.4 Recommendations for Future Work</w:t>
      </w:r>
    </w:p>
    <w:p>
      <w:pPr>
        <w:spacing w:after="120" w:line="360" w:lineRule="auto"/>
      </w:pPr>
      <w:r>
        <w:rPr>
          <w:rFonts w:ascii="Times New Roman" w:hAnsi="Times New Roman"/>
          <w:b w:val="0"/>
          <w:i w:val="0"/>
          <w:sz w:val="22"/>
        </w:rPr>
        <w:t>REFERENCES</w:t>
      </w:r>
    </w:p>
    <w:p>
      <w:r>
        <w:br w:type="page"/>
      </w:r>
    </w:p>
    <w:p>
      <w:pPr>
        <w:pStyle w:val="Heading1"/>
      </w:pPr>
      <w:r>
        <w:rPr>
          <w:color w:val="000000"/>
        </w:rPr>
        <w:t>LIST OF TABLES</w:t>
      </w:r>
    </w:p>
    <w:p>
      <w:pPr>
        <w:spacing w:after="120" w:line="360" w:lineRule="auto"/>
      </w:pPr>
      <w:r>
        <w:rPr>
          <w:rFonts w:ascii="Times New Roman" w:hAnsi="Times New Roman"/>
          <w:b w:val="0"/>
          <w:i w:val="0"/>
          <w:sz w:val="24"/>
        </w:rPr>
        <w:t>Table 1: Dataset Composition</w:t>
      </w:r>
    </w:p>
    <w:p>
      <w:pPr>
        <w:spacing w:after="120" w:line="360" w:lineRule="auto"/>
      </w:pPr>
      <w:r>
        <w:rPr>
          <w:rFonts w:ascii="Times New Roman" w:hAnsi="Times New Roman"/>
          <w:b w:val="0"/>
          <w:i w:val="0"/>
          <w:sz w:val="24"/>
        </w:rPr>
        <w:t>Table 2: Data Split Distribution</w:t>
      </w:r>
    </w:p>
    <w:p>
      <w:pPr>
        <w:spacing w:after="120" w:line="360" w:lineRule="auto"/>
      </w:pPr>
      <w:r>
        <w:rPr>
          <w:rFonts w:ascii="Times New Roman" w:hAnsi="Times New Roman"/>
          <w:b w:val="0"/>
          <w:i w:val="0"/>
          <w:sz w:val="24"/>
        </w:rPr>
        <w:t>Table 3: Pre-Normalization — Colour-Based Class Separability Analysis</w:t>
      </w:r>
    </w:p>
    <w:p>
      <w:pPr>
        <w:spacing w:after="120" w:line="360" w:lineRule="auto"/>
      </w:pPr>
      <w:r>
        <w:rPr>
          <w:rFonts w:ascii="Times New Roman" w:hAnsi="Times New Roman"/>
          <w:b w:val="0"/>
          <w:i w:val="0"/>
          <w:sz w:val="24"/>
        </w:rPr>
        <w:t>Table 4: Post-Normalization — Shortcut Detection Verification</w:t>
      </w:r>
    </w:p>
    <w:p>
      <w:pPr>
        <w:spacing w:after="120" w:line="360" w:lineRule="auto"/>
      </w:pPr>
      <w:r>
        <w:rPr>
          <w:rFonts w:ascii="Times New Roman" w:hAnsi="Times New Roman"/>
          <w:b w:val="0"/>
          <w:i w:val="0"/>
          <w:sz w:val="24"/>
        </w:rPr>
        <w:t>Table 5: Training Hyperparameters</w:t>
      </w:r>
    </w:p>
    <w:p>
      <w:pPr>
        <w:spacing w:after="120" w:line="360" w:lineRule="auto"/>
      </w:pPr>
      <w:r>
        <w:rPr>
          <w:rFonts w:ascii="Times New Roman" w:hAnsi="Times New Roman"/>
          <w:b w:val="0"/>
          <w:i w:val="0"/>
          <w:sz w:val="24"/>
        </w:rPr>
        <w:t>Table 6: Evaluation Metrics on Test Set</w:t>
      </w:r>
    </w:p>
    <w:p>
      <w:pPr>
        <w:spacing w:after="120" w:line="360" w:lineRule="auto"/>
      </w:pPr>
      <w:r>
        <w:rPr>
          <w:rFonts w:ascii="Times New Roman" w:hAnsi="Times New Roman"/>
          <w:b w:val="0"/>
          <w:i w:val="0"/>
          <w:sz w:val="24"/>
        </w:rPr>
        <w:t>Table 7: Threshold Analysis — Recall and Precision at Key Operating Points</w:t>
      </w:r>
    </w:p>
    <w:p>
      <w:pPr>
        <w:spacing w:after="120" w:line="360" w:lineRule="auto"/>
      </w:pPr>
      <w:r>
        <w:rPr>
          <w:rFonts w:ascii="Times New Roman" w:hAnsi="Times New Roman"/>
          <w:b w:val="0"/>
          <w:i w:val="0"/>
          <w:sz w:val="24"/>
        </w:rPr>
        <w:t>Table 8: Confidence Distribution per Class</w:t>
      </w:r>
    </w:p>
    <w:p>
      <w:pPr>
        <w:spacing w:after="120" w:line="360" w:lineRule="auto"/>
      </w:pPr>
      <w:r>
        <w:rPr>
          <w:rFonts w:ascii="Times New Roman" w:hAnsi="Times New Roman"/>
          <w:b w:val="0"/>
          <w:i w:val="0"/>
          <w:sz w:val="24"/>
        </w:rPr>
        <w:t>Table 9: System Performance Benchmarks</w:t>
      </w:r>
    </w:p>
    <w:p>
      <w:pPr>
        <w:pStyle w:val="Heading1"/>
      </w:pPr>
      <w:r>
        <w:rPr>
          <w:color w:val="000000"/>
        </w:rPr>
        <w:t>LIST OF FIGURES</w:t>
      </w:r>
    </w:p>
    <w:p>
      <w:pPr>
        <w:spacing w:after="120" w:line="360" w:lineRule="auto"/>
      </w:pPr>
      <w:r>
        <w:rPr>
          <w:rFonts w:ascii="Times New Roman" w:hAnsi="Times New Roman"/>
          <w:b w:val="0"/>
          <w:i w:val="0"/>
          <w:sz w:val="24"/>
        </w:rPr>
        <w:t>Figure 1: Sample Images — Monocyte and Myeloblast Cells (Pre- and Post-Normalization)</w:t>
      </w:r>
    </w:p>
    <w:p>
      <w:pPr>
        <w:spacing w:after="120" w:line="360" w:lineRule="auto"/>
      </w:pPr>
      <w:r>
        <w:rPr>
          <w:rFonts w:ascii="Times New Roman" w:hAnsi="Times New Roman"/>
          <w:b w:val="0"/>
          <w:i w:val="0"/>
          <w:sz w:val="24"/>
        </w:rPr>
        <w:t>Figure 2: ALNet Architecture Diagram</w:t>
      </w:r>
    </w:p>
    <w:p>
      <w:pPr>
        <w:spacing w:after="120" w:line="360" w:lineRule="auto"/>
      </w:pPr>
      <w:r>
        <w:rPr>
          <w:rFonts w:ascii="Times New Roman" w:hAnsi="Times New Roman"/>
          <w:b w:val="0"/>
          <w:i w:val="0"/>
          <w:sz w:val="24"/>
        </w:rPr>
        <w:t>Figure 3: Training and Validation Curves</w:t>
      </w:r>
    </w:p>
    <w:p>
      <w:pPr>
        <w:spacing w:after="120" w:line="360" w:lineRule="auto"/>
      </w:pPr>
      <w:r>
        <w:rPr>
          <w:rFonts w:ascii="Times New Roman" w:hAnsi="Times New Roman"/>
          <w:b w:val="0"/>
          <w:i w:val="0"/>
          <w:sz w:val="24"/>
        </w:rPr>
        <w:t>Figure 4: Confusion Matrix — Test Set</w:t>
      </w:r>
    </w:p>
    <w:p>
      <w:pPr>
        <w:spacing w:after="120" w:line="360" w:lineRule="auto"/>
      </w:pPr>
      <w:r>
        <w:rPr>
          <w:rFonts w:ascii="Times New Roman" w:hAnsi="Times New Roman"/>
          <w:b w:val="0"/>
          <w:i w:val="0"/>
          <w:sz w:val="24"/>
        </w:rPr>
        <w:t>Figure 5: ROC Curve</w:t>
      </w:r>
    </w:p>
    <w:p>
      <w:pPr>
        <w:spacing w:after="120" w:line="360" w:lineRule="auto"/>
      </w:pPr>
      <w:r>
        <w:rPr>
          <w:rFonts w:ascii="Times New Roman" w:hAnsi="Times New Roman"/>
          <w:b w:val="0"/>
          <w:i w:val="0"/>
          <w:sz w:val="24"/>
        </w:rPr>
        <w:t>Figure 6: Threshold Analysis — F1, Recall, and Precision</w:t>
      </w:r>
    </w:p>
    <w:p>
      <w:pPr>
        <w:spacing w:after="120" w:line="360" w:lineRule="auto"/>
      </w:pPr>
      <w:r>
        <w:rPr>
          <w:rFonts w:ascii="Times New Roman" w:hAnsi="Times New Roman"/>
          <w:b w:val="0"/>
          <w:i w:val="0"/>
          <w:sz w:val="24"/>
        </w:rPr>
        <w:t>Figure 7: Desktop Application — Main Interface</w:t>
      </w:r>
    </w:p>
    <w:p>
      <w:pPr>
        <w:spacing w:after="120" w:line="360" w:lineRule="auto"/>
      </w:pPr>
      <w:r>
        <w:rPr>
          <w:rFonts w:ascii="Times New Roman" w:hAnsi="Times New Roman"/>
          <w:b w:val="0"/>
          <w:i w:val="0"/>
          <w:sz w:val="24"/>
        </w:rPr>
        <w:t>Figure 8: Desktop Application — Analysis Result (Non-AML)</w:t>
      </w:r>
    </w:p>
    <w:p>
      <w:pPr>
        <w:spacing w:after="120" w:line="360" w:lineRule="auto"/>
      </w:pPr>
      <w:r>
        <w:rPr>
          <w:rFonts w:ascii="Times New Roman" w:hAnsi="Times New Roman"/>
          <w:b w:val="0"/>
          <w:i w:val="0"/>
          <w:sz w:val="24"/>
        </w:rPr>
        <w:t>Figure 9: Desktop Application — Analysis Result (AML Detected)</w:t>
      </w:r>
    </w:p>
    <w:p>
      <w:pPr>
        <w:pStyle w:val="Heading1"/>
      </w:pPr>
      <w:r>
        <w:rPr>
          <w:color w:val="000000"/>
        </w:rPr>
        <w:t>ABBREVIATIONS</w:t>
      </w:r>
    </w:p>
    <w:p>
      <w:pPr>
        <w:spacing w:after="120" w:line="360" w:lineRule="auto"/>
      </w:pPr>
      <w:r>
        <w:rPr>
          <w:rFonts w:ascii="Times New Roman" w:hAnsi="Times New Roman"/>
          <w:b w:val="0"/>
          <w:i w:val="0"/>
          <w:sz w:val="24"/>
        </w:rPr>
        <w:t>AML — Acute Myeloblastic Leukemia</w:t>
      </w:r>
    </w:p>
    <w:p>
      <w:pPr>
        <w:spacing w:after="120" w:line="360" w:lineRule="auto"/>
      </w:pPr>
      <w:r>
        <w:rPr>
          <w:rFonts w:ascii="Times New Roman" w:hAnsi="Times New Roman"/>
          <w:b w:val="0"/>
          <w:i w:val="0"/>
          <w:sz w:val="24"/>
        </w:rPr>
        <w:t>ALNet — Acute Leukemia Network</w:t>
      </w:r>
    </w:p>
    <w:p>
      <w:pPr>
        <w:spacing w:after="120" w:line="360" w:lineRule="auto"/>
      </w:pPr>
      <w:r>
        <w:rPr>
          <w:rFonts w:ascii="Times New Roman" w:hAnsi="Times New Roman"/>
          <w:b w:val="0"/>
          <w:i w:val="0"/>
          <w:sz w:val="24"/>
        </w:rPr>
        <w:t>AUC-ROC — Area Under the Receiver Operating Characteristic Curve</w:t>
      </w:r>
    </w:p>
    <w:p>
      <w:pPr>
        <w:spacing w:after="120" w:line="360" w:lineRule="auto"/>
      </w:pPr>
      <w:r>
        <w:rPr>
          <w:rFonts w:ascii="Times New Roman" w:hAnsi="Times New Roman"/>
          <w:b w:val="0"/>
          <w:i w:val="0"/>
          <w:sz w:val="24"/>
        </w:rPr>
        <w:t>LMICs — Low and Middle-Income Countries</w:t>
      </w:r>
    </w:p>
    <w:p>
      <w:pPr>
        <w:spacing w:after="120" w:line="360" w:lineRule="auto"/>
      </w:pPr>
      <w:r>
        <w:rPr>
          <w:rFonts w:ascii="Times New Roman" w:hAnsi="Times New Roman"/>
          <w:b w:val="0"/>
          <w:i w:val="0"/>
          <w:sz w:val="24"/>
        </w:rPr>
        <w:t>DSR — Design Science Research</w:t>
      </w:r>
    </w:p>
    <w:p>
      <w:pPr>
        <w:spacing w:after="120" w:line="360" w:lineRule="auto"/>
      </w:pPr>
      <w:r>
        <w:rPr>
          <w:rFonts w:ascii="Times New Roman" w:hAnsi="Times New Roman"/>
          <w:b w:val="0"/>
          <w:i w:val="0"/>
          <w:sz w:val="24"/>
        </w:rPr>
        <w:t>AI — Artificial Intelligence</w:t>
      </w:r>
    </w:p>
    <w:p>
      <w:pPr>
        <w:spacing w:after="120" w:line="360" w:lineRule="auto"/>
      </w:pPr>
      <w:r>
        <w:rPr>
          <w:rFonts w:ascii="Times New Roman" w:hAnsi="Times New Roman"/>
          <w:b w:val="0"/>
          <w:i w:val="0"/>
          <w:sz w:val="24"/>
        </w:rPr>
        <w:t>CBC — Complete Blood Count</w:t>
      </w:r>
    </w:p>
    <w:p>
      <w:pPr>
        <w:spacing w:after="120" w:line="360" w:lineRule="auto"/>
      </w:pPr>
      <w:r>
        <w:rPr>
          <w:rFonts w:ascii="Times New Roman" w:hAnsi="Times New Roman"/>
          <w:b w:val="0"/>
          <w:i w:val="0"/>
          <w:sz w:val="24"/>
        </w:rPr>
        <w:t>UCI — Uganda Cancer Institute</w:t>
      </w:r>
    </w:p>
    <w:p>
      <w:pPr>
        <w:spacing w:after="120" w:line="360" w:lineRule="auto"/>
      </w:pPr>
      <w:r>
        <w:rPr>
          <w:rFonts w:ascii="Times New Roman" w:hAnsi="Times New Roman"/>
          <w:b w:val="0"/>
          <w:i w:val="0"/>
          <w:sz w:val="24"/>
        </w:rPr>
        <w:t>FN — False Negative</w:t>
      </w:r>
    </w:p>
    <w:p>
      <w:pPr>
        <w:spacing w:after="120" w:line="360" w:lineRule="auto"/>
      </w:pPr>
      <w:r>
        <w:rPr>
          <w:rFonts w:ascii="Times New Roman" w:hAnsi="Times New Roman"/>
          <w:b w:val="0"/>
          <w:i w:val="0"/>
          <w:sz w:val="24"/>
        </w:rPr>
        <w:t>FP — False Positive</w:t>
      </w:r>
    </w:p>
    <w:p>
      <w:pPr>
        <w:spacing w:after="120" w:line="360" w:lineRule="auto"/>
      </w:pPr>
      <w:r>
        <w:rPr>
          <w:rFonts w:ascii="Times New Roman" w:hAnsi="Times New Roman"/>
          <w:b w:val="0"/>
          <w:i w:val="0"/>
          <w:sz w:val="24"/>
        </w:rPr>
        <w:t>LAB — CIE L*a*b* Colour Space</w:t>
      </w:r>
    </w:p>
    <w:p>
      <w:pPr>
        <w:spacing w:after="120" w:line="360" w:lineRule="auto"/>
      </w:pPr>
      <w:r>
        <w:rPr>
          <w:rFonts w:ascii="Times New Roman" w:hAnsi="Times New Roman"/>
          <w:b w:val="0"/>
          <w:i w:val="0"/>
          <w:sz w:val="24"/>
        </w:rPr>
        <w:t>RGB — Red-Green-Blue Colour Space</w:t>
      </w:r>
    </w:p>
    <w:p>
      <w:r>
        <w:br w:type="page"/>
      </w:r>
    </w:p>
    <w:p>
      <w:pPr>
        <w:pStyle w:val="Heading1"/>
      </w:pPr>
      <w:r>
        <w:rPr>
          <w:color w:val="000000"/>
        </w:rPr>
        <w:t>CHAPTER 1: INTRODUCTION</w:t>
      </w:r>
    </w:p>
    <w:p>
      <w:pPr>
        <w:pStyle w:val="Heading2"/>
      </w:pPr>
      <w:r>
        <w:rPr>
          <w:color w:val="000000"/>
        </w:rPr>
        <w:t>1.1 Background</w:t>
      </w:r>
    </w:p>
    <w:p>
      <w:pPr>
        <w:spacing w:after="120" w:line="360" w:lineRule="auto"/>
      </w:pPr>
      <w:r>
        <w:rPr>
          <w:rFonts w:ascii="Times New Roman" w:hAnsi="Times New Roman"/>
          <w:b w:val="0"/>
          <w:i w:val="0"/>
          <w:sz w:val="24"/>
        </w:rPr>
        <w:t>Leukaemia is a type of cancer that affects the blood and bone marrow, leading to the abnormal production of white blood cells. These dysfunctional cells interfere with the body's ability to fight infections, transport oxygen, and control bleeding. Acute Myeloblastic Leukemia (AML) is the most aggressive form, characterised by rapid proliferation of immature myeloblasts that crowd out healthy blood cells (Dores et al., 2012). Without prompt treatment, AML can be fatal within weeks to months. In low- and middle-income countries, mortality rates remain disproportionately high due to limited access to specialised diagnostic infrastructure (Munroe et al., 2025).</w:t>
      </w:r>
    </w:p>
    <w:p>
      <w:pPr>
        <w:spacing w:after="120" w:line="360" w:lineRule="auto"/>
      </w:pPr>
      <w:r>
        <w:rPr>
          <w:rFonts w:ascii="Times New Roman" w:hAnsi="Times New Roman"/>
          <w:b w:val="0"/>
          <w:i w:val="0"/>
          <w:sz w:val="24"/>
        </w:rPr>
        <w:t>The gold standard for AML diagnosis is morphological examination of peripheral blood smears by trained haematopathologists using light microscopy (Kansal, 2019). This process is time-consuming, subjective, and critically dependent on the expertise of the examining technician. In LMICs, where the ratio of haematopathologists to patients is severely constrained, diagnostic delays can be the difference between treatable and terminal disease.</w:t>
      </w:r>
    </w:p>
    <w:p>
      <w:pPr>
        <w:spacing w:after="120" w:line="360" w:lineRule="auto"/>
      </w:pPr>
      <w:r>
        <w:rPr>
          <w:rFonts w:ascii="Times New Roman" w:hAnsi="Times New Roman"/>
          <w:b w:val="0"/>
          <w:i w:val="0"/>
          <w:sz w:val="24"/>
        </w:rPr>
        <w:t>Artificial Intelligence (AI) has transformed medical diagnostics, offering unprecedented precision and speed in the interpretation of complex medical images (Hamet &amp; Tremblay, 2017). Deep learning models, particularly convolutional neural networks (CNNs), have demonstrated the ability to classify blood cells, detect morphological abnormalities, and flag suspected malignancies for expert review. For LMICs, AI-powered screening tools represent a potentially transformative intervention — enabling laboratory technicians to rapidly triage blood smear images and refer suspected AML cases for confirmatory testing.</w:t>
      </w:r>
    </w:p>
    <w:p>
      <w:pPr>
        <w:pStyle w:val="Heading2"/>
      </w:pPr>
      <w:r>
        <w:rPr>
          <w:color w:val="000000"/>
        </w:rPr>
        <w:t>1.2 Problem Statement</w:t>
      </w:r>
    </w:p>
    <w:p>
      <w:pPr>
        <w:spacing w:after="120" w:line="360" w:lineRule="auto"/>
      </w:pPr>
      <w:r>
        <w:rPr>
          <w:rFonts w:ascii="Times New Roman" w:hAnsi="Times New Roman"/>
          <w:b w:val="0"/>
          <w:i w:val="0"/>
          <w:sz w:val="24"/>
        </w:rPr>
        <w:t>In low- and middle-income countries (LMICs), leukaemia remains a severe public health challenge, with Acute Myeloblastic Leukemia (AML) presenting as a highly lethal and aggressive malignancy. In sub-Saharan Africa, including Uganda, diagnosis is frequently delayed due to shortages of trained haematopathologists, limited laboratory infrastructure, and the high cost of advanced diagnostic techniques such as flow cytometry and cytogenetics (Jabeen et al., 2016). Manual microscopy — the current standard of care — is time-consuming, subjective, and prone to inter-observer variability. There is an urgent need for automated, affordable, and deployable screening tools that can assist laboratory technicians in identifying suspected AML cases for confirmatory testing.</w:t>
      </w:r>
    </w:p>
    <w:p>
      <w:pPr>
        <w:spacing w:after="120" w:line="360" w:lineRule="auto"/>
      </w:pPr>
      <w:r>
        <w:rPr>
          <w:rFonts w:ascii="Times New Roman" w:hAnsi="Times New Roman"/>
          <w:b w:val="0"/>
          <w:i w:val="0"/>
          <w:sz w:val="24"/>
        </w:rPr>
        <w:t>Furthermore, a critical challenge in applying AI to blood smear analysis is stain variability. Wright-Giemsa staining protocols vary across laboratories in staining duration, reagent concentration, and pH, producing images with different colour profiles. AI models trained on images from one staining protocol may exploit colour as a shortcut rather than learning morphological features, leading to brittle performance when deployed in real clinical settings. Addressing this stain variability through appropriate preprocessing is essential for developing robust AML screening tools.</w:t>
      </w:r>
    </w:p>
    <w:p>
      <w:pPr>
        <w:pStyle w:val="Heading2"/>
      </w:pPr>
      <w:r>
        <w:rPr>
          <w:color w:val="000000"/>
        </w:rPr>
        <w:t>1.3 Objectives</w:t>
      </w:r>
    </w:p>
    <w:p>
      <w:pPr>
        <w:spacing w:after="120" w:line="360" w:lineRule="auto"/>
      </w:pPr>
      <w:r>
        <w:rPr>
          <w:rFonts w:ascii="Times New Roman" w:hAnsi="Times New Roman"/>
          <w:b/>
          <w:i w:val="0"/>
          <w:sz w:val="24"/>
        </w:rPr>
        <w:t>General Objective:</w:t>
      </w:r>
    </w:p>
    <w:p>
      <w:pPr>
        <w:spacing w:after="120" w:line="360" w:lineRule="auto"/>
      </w:pPr>
      <w:r>
        <w:rPr>
          <w:rFonts w:ascii="Times New Roman" w:hAnsi="Times New Roman"/>
          <w:b w:val="0"/>
          <w:i w:val="0"/>
          <w:sz w:val="24"/>
        </w:rPr>
        <w:t>To improve timely diagnosis of Acute Myeloblastic Leukemia (AML) using an automatic detection model suitable for deployment in LMICs.</w:t>
      </w:r>
    </w:p>
    <w:p>
      <w:pPr>
        <w:spacing w:after="120" w:line="360" w:lineRule="auto"/>
      </w:pPr>
      <w:r>
        <w:rPr>
          <w:rFonts w:ascii="Times New Roman" w:hAnsi="Times New Roman"/>
          <w:b/>
          <w:i w:val="0"/>
          <w:sz w:val="24"/>
        </w:rPr>
        <w:t>Specific Objectives:</w:t>
      </w:r>
    </w:p>
    <w:p>
      <w:pPr>
        <w:spacing w:after="120" w:line="360" w:lineRule="auto"/>
      </w:pPr>
      <w:r>
        <w:rPr>
          <w:rFonts w:ascii="Times New Roman" w:hAnsi="Times New Roman"/>
          <w:b w:val="0"/>
          <w:i w:val="0"/>
          <w:sz w:val="24"/>
        </w:rPr>
        <w:t>1. To develop and train a detection model based on the ALNet architecture on blood smear images.</w:t>
        <w:br/>
        <w:t>2. To implement stain normalization preprocessing to eliminate colour-domain confounds in Wright-Giemsa stained blood smear images.</w:t>
        <w:br/>
        <w:t>3. To test and evaluate the performance of the model using rigorous diagnostic and clinical metrics.</w:t>
        <w:br/>
        <w:t>4. To develop a user interface to support easy utilisability of the model in clinical settings.</w:t>
      </w:r>
    </w:p>
    <w:p>
      <w:pPr>
        <w:pStyle w:val="Heading2"/>
      </w:pPr>
      <w:r>
        <w:rPr>
          <w:color w:val="000000"/>
        </w:rPr>
        <w:t>1.4 Research Questions</w:t>
      </w:r>
    </w:p>
    <w:p>
      <w:pPr>
        <w:spacing w:after="120" w:line="360" w:lineRule="auto"/>
      </w:pPr>
      <w:r>
        <w:rPr>
          <w:rFonts w:ascii="Times New Roman" w:hAnsi="Times New Roman"/>
          <w:b w:val="0"/>
          <w:i w:val="0"/>
          <w:sz w:val="24"/>
        </w:rPr>
        <w:t>i. Is it possible to develop and train an ALNet-based model on AML blood smear images?</w:t>
        <w:br/>
        <w:t>ii. Does Reinhard stain normalization effectively eliminate colour-based shortcuts in Wright-Giemsa stained images?</w:t>
        <w:br/>
        <w:t>iii. Can the trained ALNet-based model accurately distinguish myeloblasts from monocytes?</w:t>
        <w:br/>
        <w:t>iv. Is it possible to integrate the model into a usable desktop application for clinical deployment?</w:t>
      </w:r>
    </w:p>
    <w:p>
      <w:pPr>
        <w:pStyle w:val="Heading2"/>
      </w:pPr>
      <w:r>
        <w:rPr>
          <w:color w:val="000000"/>
        </w:rPr>
        <w:t>1.5 Scope</w:t>
      </w:r>
    </w:p>
    <w:p>
      <w:pPr>
        <w:spacing w:after="120" w:line="360" w:lineRule="auto"/>
      </w:pPr>
      <w:r>
        <w:rPr>
          <w:rFonts w:ascii="Times New Roman" w:hAnsi="Times New Roman"/>
          <w:b w:val="0"/>
          <w:i w:val="0"/>
          <w:sz w:val="24"/>
        </w:rPr>
        <w:t>This study developed and trained a binary classification model to distinguish myeloblasts (AML-positive) from monocytes (non-AML) in peripheral blood smear images stained with Wright-Giemsa protocol. The model was trained on 2,000 single-cell images from the Kaggle blood cell dataset. Reinhard stain normalization was implemented as a preprocessing step to eliminate colour-domain confounds. The model does not differentiate between AML subtypes (e.g., M0-M7 FAB classification). A desktop screening application was developed to package the model for point-of-care use, explicitly designed as a decision-support tool rather than a standalone diagnostic system.</w:t>
      </w:r>
    </w:p>
    <w:p>
      <w:pPr>
        <w:pStyle w:val="Heading2"/>
      </w:pPr>
      <w:r>
        <w:rPr>
          <w:color w:val="000000"/>
        </w:rPr>
        <w:t>1.6 Significance</w:t>
      </w:r>
    </w:p>
    <w:p>
      <w:pPr>
        <w:spacing w:after="120" w:line="360" w:lineRule="auto"/>
      </w:pPr>
      <w:r>
        <w:rPr>
          <w:rFonts w:ascii="Times New Roman" w:hAnsi="Times New Roman"/>
          <w:b w:val="0"/>
          <w:i w:val="0"/>
          <w:sz w:val="24"/>
        </w:rPr>
        <w:t>This study makes three primary contributions. First, it demonstrates that a lightweight deep learning architecture (27,393 parameters) can achieve perfect discriminative performance between monocytes and myeloblasts when provided with well-curated, stain-normalized training data. Second, it provides a validated stain normalization methodology for Wright-Giemsa blood smear images, addressing a fundamental challenge in haematological AI. Third, it delivers a deployable desktop application that enables AML screening on standard laboratory hardware without internet, cloud, or specialized GPU dependency — directly addressing the infrastructure constraints of LMIC clinical settings.</w:t>
      </w:r>
    </w:p>
    <w:p>
      <w:r>
        <w:br w:type="page"/>
      </w:r>
    </w:p>
    <w:p>
      <w:pPr>
        <w:pStyle w:val="Heading1"/>
      </w:pPr>
      <w:r>
        <w:rPr>
          <w:color w:val="000000"/>
        </w:rPr>
        <w:t>CHAPTER 2: LITERATURE REVIEW</w:t>
      </w:r>
    </w:p>
    <w:p>
      <w:pPr>
        <w:pStyle w:val="Heading2"/>
      </w:pPr>
      <w:r>
        <w:rPr>
          <w:color w:val="000000"/>
        </w:rPr>
        <w:t>2.1 Overview of AI and Leukemia</w:t>
      </w:r>
    </w:p>
    <w:p>
      <w:pPr>
        <w:spacing w:after="120" w:line="360" w:lineRule="auto"/>
      </w:pPr>
      <w:r>
        <w:rPr>
          <w:rFonts w:ascii="Times New Roman" w:hAnsi="Times New Roman"/>
          <w:b w:val="0"/>
          <w:i w:val="0"/>
          <w:sz w:val="24"/>
        </w:rPr>
        <w:t>Artificial Intelligence (AI) has emerged as a transformative tool in medical diagnostics, significantly impacting the diagnosis and treatment of various diseases, including leukaemia (Hamet &amp; Tremblay, 2017). Deep learning architectures, particularly convolutional neural networks (CNNs), have demonstrated remarkable capability in analysing medical images, learning to identify subtle patterns that may be imperceptible to the human eye (Shafik et al., 2026). In haematology, AI-based blood cell classification has been explored for differential white blood cell counting, blast cell detection, and leukaemia subtype classification.</w:t>
      </w:r>
    </w:p>
    <w:p>
      <w:pPr>
        <w:spacing w:after="120" w:line="360" w:lineRule="auto"/>
      </w:pPr>
      <w:r>
        <w:rPr>
          <w:rFonts w:ascii="Times New Roman" w:hAnsi="Times New Roman"/>
          <w:b w:val="0"/>
          <w:i w:val="0"/>
          <w:sz w:val="24"/>
        </w:rPr>
        <w:t>The clinical need for automated screening is particularly acute in LMICs. Nakisige et al. (2023) demonstrated that AI-assisted visual inspection can significantly improve cervical cancer screening in resource-limited settings, establishing a precedent for AI-based screening tools in LMIC healthcare delivery. Blumenthal and Patel (2024) emphasized that the regulatory framework for clinical AI must balance innovation with patient safety, advocating for screening-flag models that augment rather than replace clinical judgement.</w:t>
      </w:r>
    </w:p>
    <w:p>
      <w:pPr>
        <w:pStyle w:val="Heading2"/>
      </w:pPr>
      <w:r>
        <w:rPr>
          <w:color w:val="000000"/>
        </w:rPr>
        <w:t>2.2 Non-AI Detection Methods for AML</w:t>
      </w:r>
    </w:p>
    <w:p>
      <w:pPr>
        <w:spacing w:after="120" w:line="360" w:lineRule="auto"/>
      </w:pPr>
      <w:r>
        <w:rPr>
          <w:rFonts w:ascii="Times New Roman" w:hAnsi="Times New Roman"/>
          <w:b w:val="0"/>
          <w:i w:val="0"/>
          <w:sz w:val="24"/>
        </w:rPr>
        <w:t>The main diagnostic methods for leukaemia include microscopy, automatic haematology analysers (CBC), flow cytometry, PCR, and FISH (Kansal, 2019). Microscopy is the traditional gold standard, where trained technicians manually examine stained blood smears under a microscope to identify blast cells based on morphological features including cell size, nuclear-to-cytoplasmic ratio, nuclear chromatin pattern, and presence of Auer rods. However, this process is labour-intensive, subjective, and dependent on the expertise of the examining technician. Flow cytometry and genetic testing, while more accurate, are expensive and rarely available outside tertiary referral centres in LMICs. Haferlach et al. (2005) demonstrated that gene expression profiling can provide accurate diagnosis but noted that such methods remain inaccessible in most LMIC settings.</w:t>
      </w:r>
    </w:p>
    <w:p>
      <w:pPr>
        <w:pStyle w:val="Heading2"/>
      </w:pPr>
      <w:r>
        <w:rPr>
          <w:color w:val="000000"/>
        </w:rPr>
        <w:t>2.3 AI-Based Automated Detection Using Blood Smear Images</w:t>
      </w:r>
    </w:p>
    <w:p>
      <w:pPr>
        <w:spacing w:after="120" w:line="360" w:lineRule="auto"/>
      </w:pPr>
      <w:r>
        <w:rPr>
          <w:rFonts w:ascii="Times New Roman" w:hAnsi="Times New Roman"/>
          <w:b w:val="0"/>
          <w:i w:val="0"/>
          <w:sz w:val="24"/>
        </w:rPr>
        <w:t>Several AI-based approaches have been proposed for leukaemia detection from blood smear images. Abhishek et al. (2022) explored automated classification of acute leukaemia using machine learning and deep learning techniques on heterogeneous datasets, demonstrating that CNNs can achieve competitive accuracy against manual microscopy. Saeed et al. (2022) developed a deep learning approach for Acute Lymphoblastic Leukaemia (ALL) diagnosis, achieving high sensitivity on balanced datasets. Hameed et al. (2025) proposed ReLViT, a vision transformer-based architecture for AML classification, reporting strong performance on curated single-cell datasets.</w:t>
      </w:r>
    </w:p>
    <w:p>
      <w:pPr>
        <w:spacing w:after="120" w:line="360" w:lineRule="auto"/>
      </w:pPr>
      <w:r>
        <w:rPr>
          <w:rFonts w:ascii="Times New Roman" w:hAnsi="Times New Roman"/>
          <w:b w:val="0"/>
          <w:i w:val="0"/>
          <w:sz w:val="24"/>
        </w:rPr>
        <w:t>However, most existing approaches rely on large, balanced datasets or computationally expensive pretrained models (EfficientNet, DenseNet, Vision Transformers) that are impractical for LMIC deployment on standard laboratory hardware. Wu et al. (2025) noted that the global epidemiology of AML underscores the urgency of developing accessible diagnostic tools, particularly for regions where the disease burden is highest yet diagnostic capacity is lowest.</w:t>
      </w:r>
    </w:p>
    <w:p>
      <w:pPr>
        <w:spacing w:after="120" w:line="360" w:lineRule="auto"/>
      </w:pPr>
      <w:r>
        <w:rPr>
          <w:rFonts w:ascii="Times New Roman" w:hAnsi="Times New Roman"/>
          <w:b w:val="0"/>
          <w:i w:val="0"/>
          <w:sz w:val="24"/>
        </w:rPr>
        <w:t>The Kaggle blood cell dataset (Singh, 2024) used in this study provides a balanced collection of 1,000 monocyte and 1,000 myeloblast single-cell images, offering sufficient class-balanced training data for a lightweight model to learn discriminative features. Unlike larger datasets such as AML-Cytomorphology_LMU (Matek et al., 2019), this balanced dataset enables investigation of maximum model capacity without the confounding effect of extreme class imbalance.</w:t>
      </w:r>
    </w:p>
    <w:p>
      <w:pPr>
        <w:pStyle w:val="Heading2"/>
      </w:pPr>
      <w:r>
        <w:rPr>
          <w:color w:val="000000"/>
        </w:rPr>
        <w:t>2.4 Stain Normalization in Haematological Imaging</w:t>
      </w:r>
    </w:p>
    <w:p>
      <w:pPr>
        <w:spacing w:after="120" w:line="360" w:lineRule="auto"/>
      </w:pPr>
      <w:r>
        <w:rPr>
          <w:rFonts w:ascii="Times New Roman" w:hAnsi="Times New Roman"/>
          <w:b w:val="0"/>
          <w:i w:val="0"/>
          <w:sz w:val="24"/>
        </w:rPr>
        <w:t>A critical challenge in applying deep learning to blood smear analysis is stain variability. Wright-Giemsa staining — the standard protocol for blood smear preparation — involves multiple steps (fixation, staining with azure-eosin-methylene blue, buffered rinse) whose duration, temperature, and reagent concentration can vary across laboratories. These variations produce images with different colour profiles that AI models may exploit as classification shortcuts rather than learning genuine morphological features.</w:t>
      </w:r>
    </w:p>
    <w:p>
      <w:pPr>
        <w:spacing w:after="120" w:line="360" w:lineRule="auto"/>
      </w:pPr>
      <w:r>
        <w:rPr>
          <w:rFonts w:ascii="Times New Roman" w:hAnsi="Times New Roman"/>
          <w:b w:val="0"/>
          <w:i w:val="0"/>
          <w:sz w:val="24"/>
        </w:rPr>
        <w:t>Stain normalization techniques were originally developed for histopathology, where haematoxylin and eosin (H&amp;E) staining variability across laboratories poses similar challenges. Macenko et al. (2009) proposed a method that decomposes images into stain-specific optical density vectors, normalizing against a reference stain matrix. Reinhard et al. (2001) introduced a simpler approach that matches per-channel mean and standard deviation statistics in the CIE L*a*b* (LAB) colour space. The Reinhard method is particularly suitable for Wright-Giemsa stained images because it does not assume a specific number of stain components, unlike Macenko which assumes exactly two (haematoxylin and eosin). Romanowsky-type stains including Wright-Giemsa contain multiple chromophores (azure B, eosin Y, methylene blue) whose optical density decomposition is more complex, making Reinhard normalization the more robust choice.</w:t>
      </w:r>
    </w:p>
    <w:p>
      <w:pPr>
        <w:pStyle w:val="Heading2"/>
      </w:pPr>
      <w:r>
        <w:rPr>
          <w:color w:val="000000"/>
        </w:rPr>
        <w:t>2.5 Existing Diagnostic Methods</w:t>
      </w:r>
    </w:p>
    <w:p>
      <w:pPr>
        <w:spacing w:after="120" w:line="360" w:lineRule="auto"/>
      </w:pPr>
      <w:r>
        <w:rPr>
          <w:rFonts w:ascii="Times New Roman" w:hAnsi="Times New Roman"/>
          <w:b w:val="0"/>
          <w:i w:val="0"/>
          <w:sz w:val="24"/>
        </w:rPr>
        <w:t>The current diagnostic pathway for AML in Uganda typically involves: (1) clinical examination and Complete Blood Count (CBC) at a district health facility, (2) referral to the Uganda Cancer Institute (UCI) for bone marrow aspiration, (3) morphological examination by a haematopathologist, and (4) confirmatory flow cytometry where available. Each step introduces potential delays, and the haematopathologist bottleneck is particularly acute — UCI serves a national population of over 45 million with fewer than five specialist haematopathologists.</w:t>
      </w:r>
    </w:p>
    <w:p>
      <w:pPr>
        <w:spacing w:after="120" w:line="360" w:lineRule="auto"/>
      </w:pPr>
      <w:r>
        <w:rPr>
          <w:rFonts w:ascii="Times New Roman" w:hAnsi="Times New Roman"/>
          <w:b w:val="0"/>
          <w:i w:val="0"/>
          <w:sz w:val="24"/>
        </w:rPr>
        <w:t>Gao et al. (2024) demonstrated that adaptive channel attention networks can achieve accurate visual localization with compact architectures, informing the attention mechanism design in ALNet. Kalinaki (2025) explored the Internet of Health Things (IoHT) framework, highlighting that edge-deployable AI models are essential for healthcare delivery in infrastructure-limited settings where continuous internet connectivity cannot be assumed.</w:t>
      </w:r>
    </w:p>
    <w:p>
      <w:pPr>
        <w:pStyle w:val="Heading2"/>
      </w:pPr>
      <w:r>
        <w:rPr>
          <w:color w:val="000000"/>
        </w:rPr>
        <w:t>2.6 Research Gap</w:t>
      </w:r>
    </w:p>
    <w:p>
      <w:pPr>
        <w:spacing w:after="120" w:line="360" w:lineRule="auto"/>
      </w:pPr>
      <w:r>
        <w:rPr>
          <w:rFonts w:ascii="Times New Roman" w:hAnsi="Times New Roman"/>
          <w:b w:val="0"/>
          <w:i w:val="0"/>
          <w:sz w:val="24"/>
        </w:rPr>
        <w:t>Three key gaps emerge from the literature: (1) existing AI-based AML detection models are predominantly large, computationally expensive architectures that cannot run on standard laboratory hardware; (2) stain normalization — a critical preprocessing step for real-world deployment — has been under-explored in the context of Wright-Giemsa stained blood smears; and (3) no existing AML screening tool has been packaged as a standalone, offline desktop application suitable for LMIC deployment. This study addresses all three gaps through ALNet's lightweight architecture, systematic Reinhard stain normalization, and the bundled desktop application.</w:t>
      </w:r>
    </w:p>
    <w:p>
      <w:r>
        <w:br w:type="page"/>
      </w:r>
    </w:p>
    <w:p>
      <w:pPr>
        <w:pStyle w:val="Heading1"/>
      </w:pPr>
      <w:r>
        <w:rPr>
          <w:color w:val="000000"/>
        </w:rPr>
        <w:t>CHAPTER 3: METHODOLOGY AND IMPLEMENTATION</w:t>
      </w:r>
    </w:p>
    <w:p>
      <w:pPr>
        <w:spacing w:after="120" w:line="360" w:lineRule="auto"/>
      </w:pPr>
      <w:r>
        <w:rPr>
          <w:rFonts w:ascii="Times New Roman" w:hAnsi="Times New Roman"/>
          <w:b w:val="0"/>
          <w:i w:val="0"/>
          <w:sz w:val="24"/>
        </w:rPr>
        <w:t>This chapter presents the engineering and implementation of ALNet, following the Design Science Research (DSR) framework. The DSR approach is an iterative paradigm focused on creating, validating, and refining artefacts to solve identified problems. The artefact in this study is the ALNet model paired with a stain normalization preprocessing pipeline and desktop application.</w:t>
      </w:r>
    </w:p>
    <w:p>
      <w:pPr>
        <w:pStyle w:val="Heading2"/>
      </w:pPr>
      <w:r>
        <w:rPr>
          <w:color w:val="000000"/>
        </w:rPr>
        <w:t>3.1 Dataset Selection and Configuration</w:t>
      </w:r>
    </w:p>
    <w:p>
      <w:pPr>
        <w:spacing w:after="120" w:line="360" w:lineRule="auto"/>
      </w:pPr>
      <w:r>
        <w:rPr>
          <w:rFonts w:ascii="Times New Roman" w:hAnsi="Times New Roman"/>
          <w:b w:val="0"/>
          <w:i w:val="0"/>
          <w:sz w:val="24"/>
        </w:rPr>
        <w:t>The study utilized the Kaggle blood cell images dataset (Singh, 2024), publicly available at https://www.kaggle.com/datasets/sumithsingh/blood-cell-images-for-cancer-detection. From this dataset, two cell classes relevant to AML detection were selected: monocytes (mature white blood cells representing the non-AML/healthy class) and myeloblasts (immature blast cells representing the AML-positive class). Each class contained exactly 1,000 single-cell images, providing a perfectly balanced dataset of 2,000 total images.</w:t>
      </w:r>
    </w:p>
    <w:p>
      <w:pPr>
        <w:spacing w:after="120" w:line="360" w:lineRule="auto"/>
        <w:jc w:val="center"/>
      </w:pPr>
      <w:r>
        <w:rPr>
          <w:rFonts w:ascii="Times New Roman" w:hAnsi="Times New Roman"/>
          <w:b/>
          <w:i w:val="0"/>
          <w:sz w:val="20"/>
        </w:rPr>
        <w:t>Table 1: Dataset Composition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Class</w:t>
            </w:r>
          </w:p>
        </w:tc>
        <w:tc>
          <w:tcPr>
            <w:tcW w:type="dxa" w:w="3120"/>
          </w:tcPr>
          <w:p>
            <w:r>
              <w:rPr>
                <w:b/>
              </w:rPr>
              <w:t>Cell Type</w:t>
            </w:r>
          </w:p>
        </w:tc>
        <w:tc>
          <w:tcPr>
            <w:tcW w:type="dxa" w:w="3120"/>
          </w:tcPr>
          <w:p>
            <w:r>
              <w:rPr>
                <w:b/>
              </w:rPr>
              <w:t>Count</w:t>
            </w:r>
          </w:p>
        </w:tc>
      </w:tr>
      <w:tr>
        <w:tc>
          <w:tcPr>
            <w:tcW w:type="dxa" w:w="3120"/>
          </w:tcPr>
          <w:p>
            <w:r>
              <w:t>Non-AML</w:t>
            </w:r>
          </w:p>
        </w:tc>
        <w:tc>
          <w:tcPr>
            <w:tcW w:type="dxa" w:w="3120"/>
          </w:tcPr>
          <w:p>
            <w:r>
              <w:t>Monocyte</w:t>
            </w:r>
          </w:p>
        </w:tc>
        <w:tc>
          <w:tcPr>
            <w:tcW w:type="dxa" w:w="3120"/>
          </w:tcPr>
          <w:p>
            <w:r>
              <w:t>1,000</w:t>
            </w:r>
          </w:p>
        </w:tc>
      </w:tr>
      <w:tr>
        <w:tc>
          <w:tcPr>
            <w:tcW w:type="dxa" w:w="3120"/>
          </w:tcPr>
          <w:p>
            <w:r>
              <w:t>AML-Positive</w:t>
            </w:r>
          </w:p>
        </w:tc>
        <w:tc>
          <w:tcPr>
            <w:tcW w:type="dxa" w:w="3120"/>
          </w:tcPr>
          <w:p>
            <w:r>
              <w:t>Myeloblast</w:t>
            </w:r>
          </w:p>
        </w:tc>
        <w:tc>
          <w:tcPr>
            <w:tcW w:type="dxa" w:w="3120"/>
          </w:tcPr>
          <w:p>
            <w:r>
              <w:t>1,000</w:t>
            </w:r>
          </w:p>
        </w:tc>
      </w:tr>
      <w:tr>
        <w:tc>
          <w:tcPr>
            <w:tcW w:type="dxa" w:w="3120"/>
          </w:tcPr>
          <w:p>
            <w:r>
              <w:t>Total</w:t>
            </w:r>
          </w:p>
        </w:tc>
        <w:tc>
          <w:tcPr>
            <w:tcW w:type="dxa" w:w="3120"/>
          </w:tcPr>
          <w:p>
            <w:r>
              <w:t>—</w:t>
            </w:r>
          </w:p>
        </w:tc>
        <w:tc>
          <w:tcPr>
            <w:tcW w:type="dxa" w:w="3120"/>
          </w:tcPr>
          <w:p>
            <w:r>
              <w:t>2,000</w:t>
            </w:r>
          </w:p>
        </w:tc>
      </w:tr>
    </w:tbl>
    <w:p/>
    <w:p>
      <w:pPr>
        <w:spacing w:after="120" w:line="360" w:lineRule="auto"/>
      </w:pPr>
      <w:r>
        <w:rPr>
          <w:rFonts w:ascii="Times New Roman" w:hAnsi="Times New Roman"/>
          <w:b w:val="0"/>
          <w:i w:val="0"/>
          <w:sz w:val="24"/>
        </w:rPr>
        <w:t>Images were partitioned into training (70%, n=1,400: 700 monocytes + 700 myeloblasts), validation (15%, n=300), and test (15%, n=300) sets using stratified random sampling with a fixed random seed of 42 for reproducibility. All images were preprocessed through the stain normalization pipeline described in Section 3.2 and subsequently resized to 224×224 pixels with ImageNet-style normalization (mean=[0.5, 0.5, 0.5], std=[0.5, 0.5, 0.5]) to match the expected input dimensions of ALNet.</w:t>
      </w:r>
    </w:p>
    <w:p>
      <w:pPr>
        <w:spacing w:after="120" w:line="360" w:lineRule="auto"/>
        <w:jc w:val="center"/>
      </w:pPr>
      <w:r>
        <w:rPr>
          <w:rFonts w:ascii="Times New Roman" w:hAnsi="Times New Roman"/>
          <w:b/>
          <w:i w:val="0"/>
          <w:sz w:val="20"/>
        </w:rPr>
        <w:t>Table 2: Data Split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Split</w:t>
            </w:r>
          </w:p>
        </w:tc>
        <w:tc>
          <w:tcPr>
            <w:tcW w:type="dxa" w:w="2340"/>
          </w:tcPr>
          <w:p>
            <w:r>
              <w:rPr>
                <w:b/>
              </w:rPr>
              <w:t>Total</w:t>
            </w:r>
          </w:p>
        </w:tc>
        <w:tc>
          <w:tcPr>
            <w:tcW w:type="dxa" w:w="2340"/>
          </w:tcPr>
          <w:p>
            <w:r>
              <w:rPr>
                <w:b/>
              </w:rPr>
              <w:t>Monocyte</w:t>
            </w:r>
          </w:p>
        </w:tc>
        <w:tc>
          <w:tcPr>
            <w:tcW w:type="dxa" w:w="2340"/>
          </w:tcPr>
          <w:p>
            <w:r>
              <w:rPr>
                <w:b/>
              </w:rPr>
              <w:t>Myeloblast</w:t>
            </w:r>
          </w:p>
        </w:tc>
      </w:tr>
      <w:tr>
        <w:tc>
          <w:tcPr>
            <w:tcW w:type="dxa" w:w="2340"/>
          </w:tcPr>
          <w:p>
            <w:r>
              <w:t>Train</w:t>
            </w:r>
          </w:p>
        </w:tc>
        <w:tc>
          <w:tcPr>
            <w:tcW w:type="dxa" w:w="2340"/>
          </w:tcPr>
          <w:p>
            <w:r>
              <w:t>1,400</w:t>
            </w:r>
          </w:p>
        </w:tc>
        <w:tc>
          <w:tcPr>
            <w:tcW w:type="dxa" w:w="2340"/>
          </w:tcPr>
          <w:p>
            <w:r>
              <w:t>700</w:t>
            </w:r>
          </w:p>
        </w:tc>
        <w:tc>
          <w:tcPr>
            <w:tcW w:type="dxa" w:w="2340"/>
          </w:tcPr>
          <w:p>
            <w:r>
              <w:t>700</w:t>
            </w:r>
          </w:p>
        </w:tc>
      </w:tr>
      <w:tr>
        <w:tc>
          <w:tcPr>
            <w:tcW w:type="dxa" w:w="2340"/>
          </w:tcPr>
          <w:p>
            <w:r>
              <w:t>Validation</w:t>
            </w:r>
          </w:p>
        </w:tc>
        <w:tc>
          <w:tcPr>
            <w:tcW w:type="dxa" w:w="2340"/>
          </w:tcPr>
          <w:p>
            <w:r>
              <w:t>300</w:t>
            </w:r>
          </w:p>
        </w:tc>
        <w:tc>
          <w:tcPr>
            <w:tcW w:type="dxa" w:w="2340"/>
          </w:tcPr>
          <w:p>
            <w:r>
              <w:t>150</w:t>
            </w:r>
          </w:p>
        </w:tc>
        <w:tc>
          <w:tcPr>
            <w:tcW w:type="dxa" w:w="2340"/>
          </w:tcPr>
          <w:p>
            <w:r>
              <w:t>150</w:t>
            </w:r>
          </w:p>
        </w:tc>
      </w:tr>
      <w:tr>
        <w:tc>
          <w:tcPr>
            <w:tcW w:type="dxa" w:w="2340"/>
          </w:tcPr>
          <w:p>
            <w:r>
              <w:t>Test</w:t>
            </w:r>
          </w:p>
        </w:tc>
        <w:tc>
          <w:tcPr>
            <w:tcW w:type="dxa" w:w="2340"/>
          </w:tcPr>
          <w:p>
            <w:r>
              <w:t>300</w:t>
            </w:r>
          </w:p>
        </w:tc>
        <w:tc>
          <w:tcPr>
            <w:tcW w:type="dxa" w:w="2340"/>
          </w:tcPr>
          <w:p>
            <w:r>
              <w:t>150</w:t>
            </w:r>
          </w:p>
        </w:tc>
        <w:tc>
          <w:tcPr>
            <w:tcW w:type="dxa" w:w="2340"/>
          </w:tcPr>
          <w:p>
            <w:r>
              <w:t>150</w:t>
            </w:r>
          </w:p>
        </w:tc>
      </w:tr>
    </w:tbl>
    <w:p/>
    <w:p>
      <w:pPr>
        <w:pStyle w:val="Heading2"/>
      </w:pPr>
      <w:r>
        <w:rPr>
          <w:color w:val="000000"/>
        </w:rPr>
        <w:t>3.2 Stain Normalization Pipeline</w:t>
      </w:r>
    </w:p>
    <w:p>
      <w:pPr>
        <w:spacing w:after="120" w:line="360" w:lineRule="auto"/>
      </w:pPr>
      <w:r>
        <w:rPr>
          <w:rFonts w:ascii="Times New Roman" w:hAnsi="Times New Roman"/>
          <w:b w:val="0"/>
          <w:i w:val="0"/>
          <w:sz w:val="24"/>
        </w:rPr>
        <w:t>Initial diagnostic analysis of the raw Kaggle dataset revealed a critical confound that would compromise any deep learning classifier: the two classes exhibited systematically different stain hues. Monocyte images displayed a reddish tint (mean red/blue pixel ratio = 1.185) while myeloblast images displayed a bluish tint (mean red/blue ratio = 0.970). A single-rule classifier using only the red/blue ratio (threshold = 1.04) achieved 98.2% accuracy — without any neural network. This confirmed that colour-based shortcuts would prevent genuine morphological learning.</w:t>
      </w:r>
    </w:p>
    <w:p>
      <w:pPr>
        <w:spacing w:after="120" w:line="360" w:lineRule="auto"/>
        <w:jc w:val="center"/>
      </w:pPr>
      <w:r>
        <w:rPr>
          <w:rFonts w:ascii="Times New Roman" w:hAnsi="Times New Roman"/>
          <w:b/>
          <w:i w:val="0"/>
          <w:sz w:val="20"/>
        </w:rPr>
        <w:t>Table 3: Pre-Normalization — Colour-Based Class Separability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Monocyte</w:t>
            </w:r>
          </w:p>
        </w:tc>
        <w:tc>
          <w:tcPr>
            <w:tcW w:type="dxa" w:w="3120"/>
          </w:tcPr>
          <w:p>
            <w:r>
              <w:rPr>
                <w:b/>
              </w:rPr>
              <w:t>Myeloblast</w:t>
            </w:r>
          </w:p>
        </w:tc>
      </w:tr>
      <w:tr>
        <w:tc>
          <w:tcPr>
            <w:tcW w:type="dxa" w:w="3120"/>
          </w:tcPr>
          <w:p>
            <w:r>
              <w:t>Mean Red Channel</w:t>
            </w:r>
          </w:p>
        </w:tc>
        <w:tc>
          <w:tcPr>
            <w:tcW w:type="dxa" w:w="3120"/>
          </w:tcPr>
          <w:p>
            <w:r>
              <w:t>215.9</w:t>
            </w:r>
          </w:p>
        </w:tc>
        <w:tc>
          <w:tcPr>
            <w:tcW w:type="dxa" w:w="3120"/>
          </w:tcPr>
          <w:p>
            <w:r>
              <w:t>203.1</w:t>
            </w:r>
          </w:p>
        </w:tc>
      </w:tr>
      <w:tr>
        <w:tc>
          <w:tcPr>
            <w:tcW w:type="dxa" w:w="3120"/>
          </w:tcPr>
          <w:p>
            <w:r>
              <w:t>Mean Blue Channel</w:t>
            </w:r>
          </w:p>
        </w:tc>
        <w:tc>
          <w:tcPr>
            <w:tcW w:type="dxa" w:w="3120"/>
          </w:tcPr>
          <w:p>
            <w:r>
              <w:t>182.4</w:t>
            </w:r>
          </w:p>
        </w:tc>
        <w:tc>
          <w:tcPr>
            <w:tcW w:type="dxa" w:w="3120"/>
          </w:tcPr>
          <w:p>
            <w:r>
              <w:t>209.2</w:t>
            </w:r>
          </w:p>
        </w:tc>
      </w:tr>
      <w:tr>
        <w:tc>
          <w:tcPr>
            <w:tcW w:type="dxa" w:w="3120"/>
          </w:tcPr>
          <w:p>
            <w:r>
              <w:t>Red/Blue Ratio</w:t>
            </w:r>
          </w:p>
        </w:tc>
        <w:tc>
          <w:tcPr>
            <w:tcW w:type="dxa" w:w="3120"/>
          </w:tcPr>
          <w:p>
            <w:r>
              <w:t>1.185</w:t>
            </w:r>
          </w:p>
        </w:tc>
        <w:tc>
          <w:tcPr>
            <w:tcW w:type="dxa" w:w="3120"/>
          </w:tcPr>
          <w:p>
            <w:r>
              <w:t>0.970</w:t>
            </w:r>
          </w:p>
        </w:tc>
      </w:tr>
      <w:tr>
        <w:tc>
          <w:tcPr>
            <w:tcW w:type="dxa" w:w="3120"/>
          </w:tcPr>
          <w:p>
            <w:r>
              <w:t>R/B Classifiability</w:t>
            </w:r>
          </w:p>
        </w:tc>
        <w:tc>
          <w:tcPr>
            <w:tcW w:type="dxa" w:w="3120"/>
          </w:tcPr>
          <w:p>
            <w:r>
              <w:t>98.2% accuracy with single threshold</w:t>
            </w:r>
          </w:p>
        </w:tc>
        <w:tc>
          <w:tcPr>
            <w:tcW w:type="dxa" w:w="3120"/>
          </w:tcPr>
          <w:p>
            <w:r/>
          </w:p>
        </w:tc>
      </w:tr>
    </w:tbl>
    <w:p/>
    <w:p>
      <w:pPr>
        <w:spacing w:after="120" w:line="360" w:lineRule="auto"/>
      </w:pPr>
      <w:r>
        <w:rPr>
          <w:rFonts w:ascii="Times New Roman" w:hAnsi="Times New Roman"/>
          <w:b w:val="0"/>
          <w:i w:val="0"/>
          <w:sz w:val="24"/>
        </w:rPr>
        <w:t>To eliminate this confound, Reinhard stain normalization was implemented. The Macenko method was considered but rejected because it assumes exactly two stain components (haematoxylin and eosin), whereas Wright-Giemsa is a Romanowsky-type stain with multiple chromophores (azure B, eosin Y, and methylene blue). Reinhard normalization operates in CIE LAB colour space: each image is converted from RGB to LAB, and its per-channel mean (L*, a*, b*) and standard deviation are computed. These statistics are then matched to a reference distribution derived from 100 randomly sampled images spanning both classes. The normalized image is converted back to RGB. This equalizes global colour statistics across all images while preserving the local morphological structures (nuclear texture, cytoplasmic granules, cell boundaries) that are diagnostically relevant.</w:t>
      </w:r>
    </w:p>
    <w:p>
      <w:pPr>
        <w:spacing w:after="120" w:line="360" w:lineRule="auto"/>
      </w:pPr>
      <w:r>
        <w:rPr>
          <w:rFonts w:ascii="Times New Roman" w:hAnsi="Times New Roman"/>
          <w:b w:val="0"/>
          <w:i w:val="0"/>
          <w:sz w:val="24"/>
        </w:rPr>
        <w:t>Additionally, all images were size-normalized to 400×400 pixels through padding to the maximum dimension with black borders followed by Lanczos resizing. This addressed a secondary confound: in the raw dataset, monocyte images varied in size (360-366 × 363-369 pixels) while myeloblast images were uniformly 400×400 pixels, creating a potential size-based shortcut.</w:t>
      </w:r>
    </w:p>
    <w:p>
      <w:pPr>
        <w:spacing w:after="120" w:line="360" w:lineRule="auto"/>
        <w:jc w:val="center"/>
      </w:pPr>
      <w:r>
        <w:rPr>
          <w:rFonts w:ascii="Times New Roman" w:hAnsi="Times New Roman"/>
          <w:b/>
          <w:i w:val="0"/>
          <w:sz w:val="20"/>
        </w:rPr>
        <w:t>Table 4: Post-Normalization — Shortcut Detection Verification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Shortcut Test</w:t>
            </w:r>
          </w:p>
        </w:tc>
        <w:tc>
          <w:tcPr>
            <w:tcW w:type="dxa" w:w="3120"/>
          </w:tcPr>
          <w:p>
            <w:r>
              <w:rPr>
                <w:b/>
              </w:rPr>
              <w:t>Pre-Normalization</w:t>
            </w:r>
          </w:p>
        </w:tc>
        <w:tc>
          <w:tcPr>
            <w:tcW w:type="dxa" w:w="3120"/>
          </w:tcPr>
          <w:p>
            <w:r>
              <w:rPr>
                <w:b/>
              </w:rPr>
              <w:t>Post-Normalization</w:t>
            </w:r>
          </w:p>
        </w:tc>
      </w:tr>
      <w:tr>
        <w:tc>
          <w:tcPr>
            <w:tcW w:type="dxa" w:w="3120"/>
          </w:tcPr>
          <w:p>
            <w:r>
              <w:t>R/B Ratio Separability</w:t>
            </w:r>
          </w:p>
        </w:tc>
        <w:tc>
          <w:tcPr>
            <w:tcW w:type="dxa" w:w="3120"/>
          </w:tcPr>
          <w:p>
            <w:r>
              <w:t>98.2%</w:t>
            </w:r>
          </w:p>
        </w:tc>
        <w:tc>
          <w:tcPr>
            <w:tcW w:type="dxa" w:w="3120"/>
          </w:tcPr>
          <w:p>
            <w:r>
              <w:t>50.0% (random)</w:t>
            </w:r>
          </w:p>
        </w:tc>
      </w:tr>
      <w:tr>
        <w:tc>
          <w:tcPr>
            <w:tcW w:type="dxa" w:w="3120"/>
          </w:tcPr>
          <w:p>
            <w:r>
              <w:t>Brightness Separability</w:t>
            </w:r>
          </w:p>
        </w:tc>
        <w:tc>
          <w:tcPr>
            <w:tcW w:type="dxa" w:w="3120"/>
          </w:tcPr>
          <w:p>
            <w:r>
              <w:t>91.0%</w:t>
            </w:r>
          </w:p>
        </w:tc>
        <w:tc>
          <w:tcPr>
            <w:tcW w:type="dxa" w:w="3120"/>
          </w:tcPr>
          <w:p>
            <w:r>
              <w:t>62.9%</w:t>
            </w:r>
          </w:p>
        </w:tc>
      </w:tr>
      <w:tr>
        <w:tc>
          <w:tcPr>
            <w:tcW w:type="dxa" w:w="3120"/>
          </w:tcPr>
          <w:p>
            <w:r>
              <w:t>Image Size Difference</w:t>
            </w:r>
          </w:p>
        </w:tc>
        <w:tc>
          <w:tcPr>
            <w:tcW w:type="dxa" w:w="3120"/>
          </w:tcPr>
          <w:p>
            <w:r>
              <w:t>Different (360 vs 400)</w:t>
            </w:r>
          </w:p>
        </w:tc>
        <w:tc>
          <w:tcPr>
            <w:tcW w:type="dxa" w:w="3120"/>
          </w:tcPr>
          <w:p>
            <w:r>
              <w:t>Uniform (400×400)</w:t>
            </w:r>
          </w:p>
        </w:tc>
      </w:tr>
    </w:tbl>
    <w:p/>
    <w:p>
      <w:pPr>
        <w:pStyle w:val="Heading2"/>
      </w:pPr>
      <w:r>
        <w:rPr>
          <w:color w:val="000000"/>
        </w:rPr>
        <w:t>3.3 ALNet Architecture</w:t>
      </w:r>
    </w:p>
    <w:p>
      <w:pPr>
        <w:spacing w:after="120" w:line="360" w:lineRule="auto"/>
      </w:pPr>
      <w:r>
        <w:rPr>
          <w:rFonts w:ascii="Times New Roman" w:hAnsi="Times New Roman"/>
          <w:b w:val="0"/>
          <w:i w:val="0"/>
          <w:sz w:val="24"/>
        </w:rPr>
        <w:t>ALNet (Acute Leukemia Network) is a lightweight dual-branch deep neural network designed to resolve the accuracy-vs-efficiency trade-off for medical image classification in resource-constrained environments. The architecture consists of four main components:</w:t>
      </w:r>
    </w:p>
    <w:p>
      <w:pPr>
        <w:spacing w:after="120" w:line="360" w:lineRule="auto"/>
      </w:pPr>
      <w:r>
        <w:rPr>
          <w:rFonts w:ascii="Times New Roman" w:hAnsi="Times New Roman"/>
          <w:b w:val="0"/>
          <w:i w:val="0"/>
          <w:sz w:val="24"/>
        </w:rPr>
        <w:t>1. Convolutional Block 1: Receives 3-channel RGB input (224×224×3) and processes it through two depthwise separable convolution layers (3×3 depthwise + 1×1 pointwise) with batch normalization and ReLU activation, expanding from 3 to 32 channels. A Localized Sparse Attention module follows, combining channel attention (squeeze-and-excitation with reduction ratio 8) and spatial attention (7×7 convolution over average-pooled and max-pooled feature maps) with residual connections and batch normalization.</w:t>
      </w:r>
    </w:p>
    <w:p>
      <w:pPr>
        <w:spacing w:after="120" w:line="360" w:lineRule="auto"/>
      </w:pPr>
      <w:r>
        <w:rPr>
          <w:rFonts w:ascii="Times New Roman" w:hAnsi="Times New Roman"/>
          <w:b w:val="0"/>
          <w:i w:val="0"/>
          <w:sz w:val="24"/>
        </w:rPr>
        <w:t>2. Convolutional Block 2: Expands from 32 to 64 channels using the same structure — two depthwise separable convolutions followed by channel and spatial attention with residual connections.</w:t>
      </w:r>
    </w:p>
    <w:p>
      <w:pPr>
        <w:spacing w:after="120" w:line="360" w:lineRule="auto"/>
      </w:pPr>
      <w:r>
        <w:rPr>
          <w:rFonts w:ascii="Times New Roman" w:hAnsi="Times New Roman"/>
          <w:b w:val="0"/>
          <w:i w:val="0"/>
          <w:sz w:val="24"/>
        </w:rPr>
        <w:t>3. Transition Block: 2×2 max pooling with stride 2 for spatial down-sampling, followed by global adaptive average pooling to collapse spatial dimensions to a 64-element feature vector.</w:t>
      </w:r>
    </w:p>
    <w:p>
      <w:pPr>
        <w:spacing w:after="120" w:line="360" w:lineRule="auto"/>
      </w:pPr>
      <w:r>
        <w:rPr>
          <w:rFonts w:ascii="Times New Roman" w:hAnsi="Times New Roman"/>
          <w:b w:val="0"/>
          <w:i w:val="0"/>
          <w:sz w:val="24"/>
        </w:rPr>
        <w:t>4. Dense Classification Head: Two fully-connected layers (64→128→64) with ReLU activation and dropout regularization (0.5 and 0.3 respectively), culminating in a 2-unit softmax output layer for binary classification (monocyte vs myeloblast).</w:t>
      </w:r>
    </w:p>
    <w:p>
      <w:pPr>
        <w:spacing w:after="120" w:line="360" w:lineRule="auto"/>
      </w:pPr>
      <w:r>
        <w:rPr>
          <w:rFonts w:ascii="Times New Roman" w:hAnsi="Times New Roman"/>
          <w:b w:val="0"/>
          <w:i w:val="0"/>
          <w:sz w:val="24"/>
        </w:rPr>
        <w:t>The model contains 27,393 trainable parameters with a disk footprint of 136 KB, making it suitable for deployment on standard laboratory hardware without requiring specialized GPU infrastructure. Weight initialization uses Kaiming normalization for convolutional layers and normal distribution (σ=0.01) for dense layers.</w:t>
      </w:r>
    </w:p>
    <w:p>
      <w:pPr>
        <w:spacing w:after="120" w:line="360" w:lineRule="auto"/>
      </w:pPr>
      <w:r>
        <w:rPr>
          <w:rFonts w:ascii="Times New Roman" w:hAnsi="Times New Roman"/>
          <w:b w:val="0"/>
          <w:i/>
          <w:sz w:val="20"/>
        </w:rPr>
        <w:t>[Figure 2: ALNet Architecture Diagram]</w:t>
      </w:r>
    </w:p>
    <w:p>
      <w:pPr>
        <w:pStyle w:val="Heading2"/>
      </w:pPr>
      <w:r>
        <w:rPr>
          <w:color w:val="000000"/>
        </w:rPr>
        <w:t>3.4 Training Configuration</w:t>
      </w:r>
    </w:p>
    <w:p>
      <w:pPr>
        <w:spacing w:after="120" w:line="360" w:lineRule="auto"/>
      </w:pPr>
      <w:r>
        <w:rPr>
          <w:rFonts w:ascii="Times New Roman" w:hAnsi="Times New Roman"/>
          <w:b w:val="0"/>
          <w:i w:val="0"/>
          <w:sz w:val="24"/>
        </w:rPr>
        <w:t>Training was performed locally on an NVIDIA GeForce GTX 1650 GPU (4 GB VRAM) using mixed-precision training to optimize memory usage. The model was trained for up to 80 epochs with a batch size of 24 (constrained by the 4 GB VRAM). The complete training configuration is presented in Table 5.</w:t>
      </w:r>
    </w:p>
    <w:p>
      <w:pPr>
        <w:spacing w:after="120" w:line="360" w:lineRule="auto"/>
        <w:jc w:val="center"/>
      </w:pPr>
      <w:r>
        <w:rPr>
          <w:rFonts w:ascii="Times New Roman" w:hAnsi="Times New Roman"/>
          <w:b/>
          <w:i w:val="0"/>
          <w:sz w:val="20"/>
        </w:rPr>
        <w:t>Table 5: Training Hyperparameters</w:t>
      </w:r>
    </w:p>
    <w:tbl>
      <w:tblPr>
        <w:tblStyle w:val="TableGrid"/>
        <w:tblW w:type="auto" w:w="0"/>
        <w:tblLook w:firstColumn="1" w:firstRow="1" w:lastColumn="0" w:lastRow="0" w:noHBand="0" w:noVBand="1" w:val="04A0"/>
      </w:tblPr>
      <w:tblGrid>
        <w:gridCol w:w="4680"/>
        <w:gridCol w:w="4680"/>
      </w:tblGrid>
      <w:tr>
        <w:tc>
          <w:tcPr>
            <w:tcW w:type="dxa" w:w="4680"/>
          </w:tcPr>
          <w:p>
            <w:r>
              <w:t>Hyperparameter</w:t>
            </w:r>
          </w:p>
        </w:tc>
        <w:tc>
          <w:tcPr>
            <w:tcW w:type="dxa" w:w="4680"/>
          </w:tcPr>
          <w:p>
            <w:r>
              <w:t>Value</w:t>
            </w:r>
          </w:p>
        </w:tc>
      </w:tr>
      <w:tr>
        <w:tc>
          <w:tcPr>
            <w:tcW w:type="dxa" w:w="4680"/>
          </w:tcPr>
          <w:p>
            <w:r>
              <w:t>Architecture</w:t>
            </w:r>
          </w:p>
        </w:tc>
        <w:tc>
          <w:tcPr>
            <w:tcW w:type="dxa" w:w="4680"/>
          </w:tcPr>
          <w:p>
            <w:r>
              <w:t>ALNet (27,393 parameters)</w:t>
            </w:r>
          </w:p>
        </w:tc>
      </w:tr>
      <w:tr>
        <w:tc>
          <w:tcPr>
            <w:tcW w:type="dxa" w:w="4680"/>
          </w:tcPr>
          <w:p>
            <w:r>
              <w:t>Input Size</w:t>
            </w:r>
          </w:p>
        </w:tc>
        <w:tc>
          <w:tcPr>
            <w:tcW w:type="dxa" w:w="4680"/>
          </w:tcPr>
          <w:p>
            <w:r>
              <w:t>224 × 224 × 3</w:t>
            </w:r>
          </w:p>
        </w:tc>
      </w:tr>
      <w:tr>
        <w:tc>
          <w:tcPr>
            <w:tcW w:type="dxa" w:w="4680"/>
          </w:tcPr>
          <w:p>
            <w:r>
              <w:t>Batch Size</w:t>
            </w:r>
          </w:p>
        </w:tc>
        <w:tc>
          <w:tcPr>
            <w:tcW w:type="dxa" w:w="4680"/>
          </w:tcPr>
          <w:p>
            <w:r>
              <w:t>24</w:t>
            </w:r>
          </w:p>
        </w:tc>
      </w:tr>
      <w:tr>
        <w:tc>
          <w:tcPr>
            <w:tcW w:type="dxa" w:w="4680"/>
          </w:tcPr>
          <w:p>
            <w:r>
              <w:t>Maximum Epochs</w:t>
            </w:r>
          </w:p>
        </w:tc>
        <w:tc>
          <w:tcPr>
            <w:tcW w:type="dxa" w:w="4680"/>
          </w:tcPr>
          <w:p>
            <w:r>
              <w:t>80 (early stopping patience = 12)</w:t>
            </w:r>
          </w:p>
        </w:tc>
      </w:tr>
      <w:tr>
        <w:tc>
          <w:tcPr>
            <w:tcW w:type="dxa" w:w="4680"/>
          </w:tcPr>
          <w:p>
            <w:r>
              <w:t>Loss Function</w:t>
            </w:r>
          </w:p>
        </w:tc>
        <w:tc>
          <w:tcPr>
            <w:tcW w:type="dxa" w:w="4680"/>
          </w:tcPr>
          <w:p>
            <w:r>
              <w:t>Weighted Focal Loss (α=0.50, γ=2.0)</w:t>
            </w:r>
          </w:p>
        </w:tc>
      </w:tr>
      <w:tr>
        <w:tc>
          <w:tcPr>
            <w:tcW w:type="dxa" w:w="4680"/>
          </w:tcPr>
          <w:p>
            <w:r>
              <w:t>Optimizer</w:t>
            </w:r>
          </w:p>
        </w:tc>
        <w:tc>
          <w:tcPr>
            <w:tcW w:type="dxa" w:w="4680"/>
          </w:tcPr>
          <w:p>
            <w:r>
              <w:t>AdamW (lr=0.001, weight_decay=1e-4)</w:t>
            </w:r>
          </w:p>
        </w:tc>
      </w:tr>
      <w:tr>
        <w:tc>
          <w:tcPr>
            <w:tcW w:type="dxa" w:w="4680"/>
          </w:tcPr>
          <w:p>
            <w:r>
              <w:t>LR Schedule</w:t>
            </w:r>
          </w:p>
        </w:tc>
        <w:tc>
          <w:tcPr>
            <w:tcW w:type="dxa" w:w="4680"/>
          </w:tcPr>
          <w:p>
            <w:r>
              <w:t>Cosine Annealing (T_max=80, η_min=1e-6)</w:t>
            </w:r>
          </w:p>
        </w:tc>
      </w:tr>
      <w:tr>
        <w:tc>
          <w:tcPr>
            <w:tcW w:type="dxa" w:w="4680"/>
          </w:tcPr>
          <w:p>
            <w:r>
              <w:t>Mixed Precision</w:t>
            </w:r>
          </w:p>
        </w:tc>
        <w:tc>
          <w:tcPr>
            <w:tcW w:type="dxa" w:w="4680"/>
          </w:tcPr>
          <w:p>
            <w:r>
              <w:t>Yes (float16)</w:t>
            </w:r>
          </w:p>
        </w:tc>
      </w:tr>
      <w:tr>
        <w:tc>
          <w:tcPr>
            <w:tcW w:type="dxa" w:w="4680"/>
          </w:tcPr>
          <w:p>
            <w:r>
              <w:t>Gradient Clipping</w:t>
            </w:r>
          </w:p>
        </w:tc>
        <w:tc>
          <w:tcPr>
            <w:tcW w:type="dxa" w:w="4680"/>
          </w:tcPr>
          <w:p>
            <w:r>
              <w:t>Norm = 1.0</w:t>
            </w:r>
          </w:p>
        </w:tc>
      </w:tr>
      <w:tr>
        <w:tc>
          <w:tcPr>
            <w:tcW w:type="dxa" w:w="4680"/>
          </w:tcPr>
          <w:p>
            <w:r>
              <w:t>Random Seed</w:t>
            </w:r>
          </w:p>
        </w:tc>
        <w:tc>
          <w:tcPr>
            <w:tcW w:type="dxa" w:w="4680"/>
          </w:tcPr>
          <w:p>
            <w:r>
              <w:t>42</w:t>
            </w:r>
          </w:p>
        </w:tc>
      </w:tr>
    </w:tbl>
    <w:p/>
    <w:p>
      <w:pPr>
        <w:spacing w:after="120" w:line="360" w:lineRule="auto"/>
      </w:pPr>
      <w:r>
        <w:rPr>
          <w:rFonts w:ascii="Times New Roman" w:hAnsi="Times New Roman"/>
          <w:b w:val="0"/>
          <w:i w:val="0"/>
          <w:sz w:val="24"/>
        </w:rPr>
        <w:t>Online data augmentation was applied to the training set only, including: random horizontal flip (p=0.5), random vertical flip (p=0.3), random rotation up to ±30 degrees, and colour jitter (±10% brightness, contrast, saturation, and hue). Colour jitter was enabled because Reinhard normalization had already standardized the global stain profile — mild colour perturbation served as regularization rather than introducing artefacts. Validation and test sets received only resizing and normalization, with no augmentation.</w:t>
      </w:r>
    </w:p>
    <w:p>
      <w:pPr>
        <w:pStyle w:val="Heading2"/>
      </w:pPr>
      <w:r>
        <w:rPr>
          <w:color w:val="000000"/>
        </w:rPr>
        <w:t>3.5 Evaluation Metrics</w:t>
      </w:r>
    </w:p>
    <w:p>
      <w:pPr>
        <w:spacing w:after="120" w:line="360" w:lineRule="auto"/>
      </w:pPr>
      <w:r>
        <w:rPr>
          <w:rFonts w:ascii="Times New Roman" w:hAnsi="Times New Roman"/>
          <w:b w:val="0"/>
          <w:i w:val="0"/>
          <w:sz w:val="24"/>
        </w:rPr>
        <w:t>Model performance was evaluated on the held-out 15% test set (300 images) using the following metrics: accuracy, AUC-ROC (Area Under the Receiver Operating Characteristic curve), F1-score, recall (sensitivity), precision, and confusion matrix. The PR-curve optimal classification threshold was determined by maximizing F1-score across all thresholds from 0.01 to 0.99 in increments of 0.01. Per-class mean and minimum prediction confidence were computed to assess prediction reliability. Pre- and post-normalization shortcut detection analyses were conducted to verify that no single feature (colour ratio, brightness, edge density) could trivially separate the two classes after normalization.</w:t>
      </w:r>
    </w:p>
    <w:p>
      <w:pPr>
        <w:pStyle w:val="Heading2"/>
      </w:pPr>
      <w:r>
        <w:rPr>
          <w:color w:val="000000"/>
        </w:rPr>
        <w:t>3.6 Desktop Application Implementation</w:t>
      </w:r>
    </w:p>
    <w:p>
      <w:pPr>
        <w:spacing w:after="120" w:line="360" w:lineRule="auto"/>
      </w:pPr>
      <w:r>
        <w:rPr>
          <w:rFonts w:ascii="Times New Roman" w:hAnsi="Times New Roman"/>
          <w:b w:val="0"/>
          <w:i w:val="0"/>
          <w:sz w:val="24"/>
        </w:rPr>
        <w:t>A desktop decision-support application was developed using Python with CustomTkinter for the graphical user interface and packaged as a standalone executable using PyInstaller. The application provides: (1) image loading via file picker with real-time preview of the selected blood smear image, (2) automated preprocessing to 224×224×3 pixels matching the training pipeline, (3) real-time inference using the bundled ALNet model with softmax confidence scores displayed for both Non-AML and AML classes, (4) explicit screening-flag labelling with a disclaimer that results are for screening purposes only and require expert haematopathologist review, (5) local SQLite-based session logging recording timestamp, filename, prediction, and confidence scores for audit trail purposes, and (6) one-click launch — no Python, TensorFlow, or any dependency installation is required. The application was designed for deployment on standard Windows laboratory workstations with typical specifications.</w:t>
      </w:r>
    </w:p>
    <w:p>
      <w:r>
        <w:br w:type="page"/>
      </w:r>
    </w:p>
    <w:p>
      <w:pPr>
        <w:pStyle w:val="Heading1"/>
      </w:pPr>
      <w:r>
        <w:rPr>
          <w:color w:val="000000"/>
        </w:rPr>
        <w:t>CHAPTER 4: RESULTS AND INTERPRETATION</w:t>
      </w:r>
    </w:p>
    <w:p>
      <w:pPr>
        <w:pStyle w:val="Heading2"/>
      </w:pPr>
      <w:r>
        <w:rPr>
          <w:color w:val="000000"/>
        </w:rPr>
        <w:t>4.1 Dataset Characteristics and Diagnostic Analysis</w:t>
      </w:r>
    </w:p>
    <w:p>
      <w:pPr>
        <w:spacing w:after="120" w:line="360" w:lineRule="auto"/>
      </w:pPr>
      <w:r>
        <w:rPr>
          <w:rFonts w:ascii="Times New Roman" w:hAnsi="Times New Roman"/>
          <w:b w:val="0"/>
          <w:i w:val="0"/>
          <w:sz w:val="24"/>
        </w:rPr>
        <w:t>The Kaggle dataset comprised 2,000 single-cell microscopic images of peripheral blood smears stained with Wright-Giemsa protocol. The monocyte class contained 1,000 images of mature monocytes — the largest normal white blood cells, characterized by kidney-shaped or horseshoe-shaped nuclei, abundant grey-blue cytoplasm, and fine azurophilic granules. The myeloblast class contained 1,000 images of immature blast cells — the hallmark of AML, characterized by large round nuclei with fine chromatin, prominent nucleoli, and scant basophilic cytoplasm.</w:t>
      </w:r>
    </w:p>
    <w:p>
      <w:pPr>
        <w:spacing w:after="120" w:line="360" w:lineRule="auto"/>
      </w:pPr>
      <w:r>
        <w:rPr>
          <w:rFonts w:ascii="Times New Roman" w:hAnsi="Times New Roman"/>
          <w:b w:val="0"/>
          <w:i w:val="0"/>
          <w:sz w:val="24"/>
        </w:rPr>
        <w:t>Pre-normalization diagnostic analysis (detailed in Section 3.2, Tables 3-4) revealed that colour-based class separability was 98.2% (red/blue ratio threshold = 1.04) and size-based differences existed between classes. These confounds were systematically eliminated through the Reinhard stain normalization and size normalization pipelines described in Chapter 3.</w:t>
      </w:r>
    </w:p>
    <w:p>
      <w:pPr>
        <w:pStyle w:val="Heading2"/>
      </w:pPr>
      <w:r>
        <w:rPr>
          <w:color w:val="000000"/>
        </w:rPr>
        <w:t>4.2 Stain Normalization Outcomes</w:t>
      </w:r>
    </w:p>
    <w:p>
      <w:pPr>
        <w:spacing w:after="120" w:line="360" w:lineRule="auto"/>
      </w:pPr>
      <w:r>
        <w:rPr>
          <w:rFonts w:ascii="Times New Roman" w:hAnsi="Times New Roman"/>
          <w:b w:val="0"/>
          <w:i w:val="0"/>
          <w:sz w:val="24"/>
        </w:rPr>
        <w:t>Reinhard stain normalization successfully eliminated colour-domain confounds. The red/blue pixel ratio separability dropped from 98.2% to 50.0% — equivalent to random chance — confirming that no single colour-channel threshold could distinguish between the two classes after normalization. Brightness-based separability decreased from 91.0% to 62.9%. All 2,000 images were successfully processed through the normalization pipeline with zero failures, and all images were uniformly sized at 400×400 pixels.</w:t>
      </w:r>
    </w:p>
    <w:p>
      <w:pPr>
        <w:spacing w:after="120" w:line="360" w:lineRule="auto"/>
      </w:pPr>
      <w:r>
        <w:rPr>
          <w:rFonts w:ascii="Times New Roman" w:hAnsi="Times New Roman"/>
          <w:b w:val="0"/>
          <w:i w:val="0"/>
          <w:sz w:val="24"/>
        </w:rPr>
        <w:t>Post-normalization verification of edge density, contrast, and entropy confirmed that no trivial single feature could separate the classes, validating that the model would need to learn genuine morphological patterns rather than exploiting preprocessing artefacts.</w:t>
      </w:r>
    </w:p>
    <w:p>
      <w:pPr>
        <w:pStyle w:val="Heading2"/>
      </w:pPr>
      <w:r>
        <w:rPr>
          <w:color w:val="000000"/>
        </w:rPr>
        <w:t>4.3 Model Training</w:t>
      </w:r>
    </w:p>
    <w:p>
      <w:pPr>
        <w:spacing w:after="120" w:line="360" w:lineRule="auto"/>
      </w:pPr>
      <w:r>
        <w:rPr>
          <w:rFonts w:ascii="Times New Roman" w:hAnsi="Times New Roman"/>
          <w:b w:val="0"/>
          <w:i w:val="0"/>
          <w:sz w:val="24"/>
        </w:rPr>
        <w:t>ALNet training converged rapidly and stably. The best model was achieved at epoch 9 with a validation loss of 0.000128 and validation accuracy of 100.0%. The fast convergence (9 epochs out of a maximum of 80 with early stopping patience of 12) indicates that stain normalization successfully removed confounding artefacts, allowing the model to focus on genuine morphological differences between cell types. Training and validation loss curves demonstrated monotonic convergence with no evidence of overfitting — validation loss continued to decrease through the best epoch, and the gap between training and validation accuracy remained minimal (&lt; 1% throughout training).</w:t>
      </w:r>
    </w:p>
    <w:p>
      <w:pPr>
        <w:spacing w:after="120" w:line="360" w:lineRule="auto"/>
      </w:pPr>
      <w:r>
        <w:rPr>
          <w:rFonts w:ascii="Times New Roman" w:hAnsi="Times New Roman"/>
          <w:b w:val="0"/>
          <w:i w:val="0"/>
          <w:sz w:val="24"/>
        </w:rPr>
        <w:t>Training was completed in approximately 48 minutes on the NVIDIA GeForce GTX 1650 GPU, demonstrating that training on modest consumer-grade hardware is feasible when paired with an appropriate lightweight architecture. The total training time across all 9 epochs was dominated by data loading and augmentation rather than forward/backward passes, indicating that the 27,393-parameter model imposes minimal computational burden.</w:t>
      </w:r>
    </w:p>
    <w:p>
      <w:pPr>
        <w:spacing w:after="120" w:line="360" w:lineRule="auto"/>
      </w:pPr>
      <w:r>
        <w:rPr>
          <w:rFonts w:ascii="Times New Roman" w:hAnsi="Times New Roman"/>
          <w:b w:val="0"/>
          <w:i/>
          <w:sz w:val="20"/>
        </w:rPr>
        <w:t>[Figure 3: Training and validation loss and accuracy curves.]</w:t>
      </w:r>
    </w:p>
    <w:p>
      <w:pPr>
        <w:pStyle w:val="Heading2"/>
      </w:pPr>
      <w:r>
        <w:rPr>
          <w:color w:val="000000"/>
        </w:rPr>
        <w:t>4.4 Evaluation on Test Set</w:t>
      </w:r>
    </w:p>
    <w:p>
      <w:pPr>
        <w:spacing w:after="120" w:line="360" w:lineRule="auto"/>
      </w:pPr>
      <w:r>
        <w:rPr>
          <w:rFonts w:ascii="Times New Roman" w:hAnsi="Times New Roman"/>
          <w:b w:val="0"/>
          <w:i w:val="0"/>
          <w:sz w:val="24"/>
        </w:rPr>
        <w:t>The trained ALNet model was evaluated on the held-out test set of 300 images (150 monocytes, 150 myeloblasts) that were neither seen during training nor used for validation. The model achieved perfect classification performance with zero errors.</w:t>
      </w:r>
    </w:p>
    <w:p>
      <w:pPr>
        <w:spacing w:after="120" w:line="360" w:lineRule="auto"/>
        <w:jc w:val="center"/>
      </w:pPr>
      <w:r>
        <w:rPr>
          <w:rFonts w:ascii="Times New Roman" w:hAnsi="Times New Roman"/>
          <w:b/>
          <w:i w:val="0"/>
          <w:sz w:val="20"/>
        </w:rPr>
        <w:t>Table 6: Evaluation Metrics on Test Set</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Accuracy</w:t>
            </w:r>
          </w:p>
        </w:tc>
        <w:tc>
          <w:tcPr>
            <w:tcW w:type="dxa" w:w="4680"/>
          </w:tcPr>
          <w:p>
            <w:r>
              <w:t>100.0% (300/300)</w:t>
            </w:r>
          </w:p>
        </w:tc>
      </w:tr>
      <w:tr>
        <w:tc>
          <w:tcPr>
            <w:tcW w:type="dxa" w:w="4680"/>
          </w:tcPr>
          <w:p>
            <w:r>
              <w:t>AUC-ROC</w:t>
            </w:r>
          </w:p>
        </w:tc>
        <w:tc>
          <w:tcPr>
            <w:tcW w:type="dxa" w:w="4680"/>
          </w:tcPr>
          <w:p>
            <w:r>
              <w:t>1.000</w:t>
            </w:r>
          </w:p>
        </w:tc>
      </w:tr>
      <w:tr>
        <w:tc>
          <w:tcPr>
            <w:tcW w:type="dxa" w:w="4680"/>
          </w:tcPr>
          <w:p>
            <w:r>
              <w:t>F1-Score</w:t>
            </w:r>
          </w:p>
        </w:tc>
        <w:tc>
          <w:tcPr>
            <w:tcW w:type="dxa" w:w="4680"/>
          </w:tcPr>
          <w:p>
            <w:r>
              <w:t>1.000</w:t>
            </w:r>
          </w:p>
        </w:tc>
      </w:tr>
      <w:tr>
        <w:tc>
          <w:tcPr>
            <w:tcW w:type="dxa" w:w="4680"/>
          </w:tcPr>
          <w:p>
            <w:r>
              <w:t>Recall (Sensitivity)</w:t>
            </w:r>
          </w:p>
        </w:tc>
        <w:tc>
          <w:tcPr>
            <w:tcW w:type="dxa" w:w="4680"/>
          </w:tcPr>
          <w:p>
            <w:r>
              <w:t>100.0%</w:t>
            </w:r>
          </w:p>
        </w:tc>
      </w:tr>
      <w:tr>
        <w:tc>
          <w:tcPr>
            <w:tcW w:type="dxa" w:w="4680"/>
          </w:tcPr>
          <w:p>
            <w:r>
              <w:t>Precision</w:t>
            </w:r>
          </w:p>
        </w:tc>
        <w:tc>
          <w:tcPr>
            <w:tcW w:type="dxa" w:w="4680"/>
          </w:tcPr>
          <w:p>
            <w:r>
              <w:t>100.0%</w:t>
            </w:r>
          </w:p>
        </w:tc>
      </w:tr>
      <w:tr>
        <w:tc>
          <w:tcPr>
            <w:tcW w:type="dxa" w:w="4680"/>
          </w:tcPr>
          <w:p>
            <w:r>
              <w:t>True Positives / True Negatives</w:t>
            </w:r>
          </w:p>
        </w:tc>
        <w:tc>
          <w:tcPr>
            <w:tcW w:type="dxa" w:w="4680"/>
          </w:tcPr>
          <w:p>
            <w:r>
              <w:t>150 / 150</w:t>
            </w:r>
          </w:p>
        </w:tc>
      </w:tr>
      <w:tr>
        <w:tc>
          <w:tcPr>
            <w:tcW w:type="dxa" w:w="4680"/>
          </w:tcPr>
          <w:p>
            <w:r>
              <w:t>False Positives / False Negatives</w:t>
            </w:r>
          </w:p>
        </w:tc>
        <w:tc>
          <w:tcPr>
            <w:tcW w:type="dxa" w:w="4680"/>
          </w:tcPr>
          <w:p>
            <w:r>
              <w:t>0 / 0</w:t>
            </w:r>
          </w:p>
        </w:tc>
      </w:tr>
    </w:tbl>
    <w:p/>
    <w:p>
      <w:pPr>
        <w:spacing w:after="120" w:line="360" w:lineRule="auto"/>
      </w:pPr>
      <w:r>
        <w:rPr>
          <w:rFonts w:ascii="Times New Roman" w:hAnsi="Times New Roman"/>
          <w:b w:val="0"/>
          <w:i w:val="0"/>
          <w:sz w:val="24"/>
        </w:rPr>
        <w:t>Confusion Matrix (threshold = 0.50):</w:t>
        <w:br/>
        <w:t xml:space="preserve">  True Negatives (correctly identified monocytes) = 150</w:t>
        <w:br/>
        <w:t xml:space="preserve">  False Positives (monocytes misclassified as myeloblast) = 0</w:t>
        <w:br/>
        <w:t xml:space="preserve">  False Negatives (myeloblasts misclassified as monocyte) = 0</w:t>
        <w:br/>
        <w:t xml:space="preserve">  True Positives (correctly identified myeloblasts) = 150</w:t>
      </w:r>
    </w:p>
    <w:p>
      <w:pPr>
        <w:spacing w:after="120" w:line="360" w:lineRule="auto"/>
      </w:pPr>
      <w:r>
        <w:rPr>
          <w:rFonts w:ascii="Times New Roman" w:hAnsi="Times New Roman"/>
          <w:b w:val="0"/>
          <w:i/>
          <w:sz w:val="20"/>
        </w:rPr>
        <w:t>[Figure 4: Confusion matrix for ALNet on the test set.]</w:t>
      </w:r>
    </w:p>
    <w:p>
      <w:pPr>
        <w:spacing w:after="120" w:line="360" w:lineRule="auto"/>
      </w:pPr>
      <w:r>
        <w:rPr>
          <w:rFonts w:ascii="Times New Roman" w:hAnsi="Times New Roman"/>
          <w:b w:val="0"/>
          <w:i/>
          <w:sz w:val="20"/>
        </w:rPr>
        <w:t>[Figure 5: ROC curve for ALNet showing AUC-ROC of 1.000.]</w:t>
      </w:r>
    </w:p>
    <w:p>
      <w:pPr>
        <w:pStyle w:val="Heading2"/>
      </w:pPr>
      <w:r>
        <w:rPr>
          <w:color w:val="000000"/>
        </w:rPr>
        <w:t>4.5 Threshold Analysis</w:t>
      </w:r>
    </w:p>
    <w:p>
      <w:pPr>
        <w:spacing w:after="120" w:line="360" w:lineRule="auto"/>
      </w:pPr>
      <w:r>
        <w:rPr>
          <w:rFonts w:ascii="Times New Roman" w:hAnsi="Times New Roman"/>
          <w:b w:val="0"/>
          <w:i w:val="0"/>
          <w:sz w:val="24"/>
        </w:rPr>
        <w:t>A systematic threshold analysis was performed to characterize the model's precision-recall behaviour across the full range of classification thresholds (0.01 to 0.99). The PR-curve optimal threshold — maximizing F1-score — was identified at 0.14.</w:t>
      </w:r>
    </w:p>
    <w:p>
      <w:pPr>
        <w:spacing w:after="120" w:line="360" w:lineRule="auto"/>
        <w:jc w:val="center"/>
      </w:pPr>
      <w:r>
        <w:rPr>
          <w:rFonts w:ascii="Times New Roman" w:hAnsi="Times New Roman"/>
          <w:b/>
          <w:i w:val="0"/>
          <w:sz w:val="20"/>
        </w:rPr>
        <w:t>Table 7: Threshold Analysis — Recall and Precision at Key Operating Points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Threshold</w:t>
            </w:r>
          </w:p>
        </w:tc>
        <w:tc>
          <w:tcPr>
            <w:tcW w:type="dxa" w:w="1872"/>
          </w:tcPr>
          <w:p>
            <w:r>
              <w:rPr>
                <w:b/>
              </w:rPr>
              <w:t>Recall</w:t>
            </w:r>
          </w:p>
        </w:tc>
        <w:tc>
          <w:tcPr>
            <w:tcW w:type="dxa" w:w="1872"/>
          </w:tcPr>
          <w:p>
            <w:r>
              <w:rPr>
                <w:b/>
              </w:rPr>
              <w:t>Precision</w:t>
            </w:r>
          </w:p>
        </w:tc>
        <w:tc>
          <w:tcPr>
            <w:tcW w:type="dxa" w:w="1872"/>
          </w:tcPr>
          <w:p>
            <w:r>
              <w:rPr>
                <w:b/>
              </w:rPr>
              <w:t>F1-Score</w:t>
            </w:r>
          </w:p>
        </w:tc>
        <w:tc>
          <w:tcPr>
            <w:tcW w:type="dxa" w:w="1872"/>
          </w:tcPr>
          <w:p>
            <w:r>
              <w:rPr>
                <w:b/>
              </w:rPr>
              <w:t>False Positives</w:t>
            </w:r>
          </w:p>
        </w:tc>
      </w:tr>
      <w:tr>
        <w:tc>
          <w:tcPr>
            <w:tcW w:type="dxa" w:w="1872"/>
          </w:tcPr>
          <w:p>
            <w:r>
              <w:t>0.10</w:t>
            </w:r>
          </w:p>
        </w:tc>
        <w:tc>
          <w:tcPr>
            <w:tcW w:type="dxa" w:w="1872"/>
          </w:tcPr>
          <w:p>
            <w:r>
              <w:t>100.0%</w:t>
            </w:r>
          </w:p>
        </w:tc>
        <w:tc>
          <w:tcPr>
            <w:tcW w:type="dxa" w:w="1872"/>
          </w:tcPr>
          <w:p>
            <w:r>
              <w:t>100.0%</w:t>
            </w:r>
          </w:p>
        </w:tc>
        <w:tc>
          <w:tcPr>
            <w:tcW w:type="dxa" w:w="1872"/>
          </w:tcPr>
          <w:p>
            <w:r>
              <w:t>1.000</w:t>
            </w:r>
          </w:p>
        </w:tc>
        <w:tc>
          <w:tcPr>
            <w:tcW w:type="dxa" w:w="1872"/>
          </w:tcPr>
          <w:p>
            <w:r>
              <w:t>0</w:t>
            </w:r>
          </w:p>
        </w:tc>
      </w:tr>
      <w:tr>
        <w:tc>
          <w:tcPr>
            <w:tcW w:type="dxa" w:w="1872"/>
          </w:tcPr>
          <w:p>
            <w:r>
              <w:t>0.14 (optimal)</w:t>
            </w:r>
          </w:p>
        </w:tc>
        <w:tc>
          <w:tcPr>
            <w:tcW w:type="dxa" w:w="1872"/>
          </w:tcPr>
          <w:p>
            <w:r>
              <w:t>100.0%</w:t>
            </w:r>
          </w:p>
        </w:tc>
        <w:tc>
          <w:tcPr>
            <w:tcW w:type="dxa" w:w="1872"/>
          </w:tcPr>
          <w:p>
            <w:r>
              <w:t>100.0%</w:t>
            </w:r>
          </w:p>
        </w:tc>
        <w:tc>
          <w:tcPr>
            <w:tcW w:type="dxa" w:w="1872"/>
          </w:tcPr>
          <w:p>
            <w:r>
              <w:t>1.000</w:t>
            </w:r>
          </w:p>
        </w:tc>
        <w:tc>
          <w:tcPr>
            <w:tcW w:type="dxa" w:w="1872"/>
          </w:tcPr>
          <w:p>
            <w:r>
              <w:t>0</w:t>
            </w:r>
          </w:p>
        </w:tc>
      </w:tr>
      <w:tr>
        <w:tc>
          <w:tcPr>
            <w:tcW w:type="dxa" w:w="1872"/>
          </w:tcPr>
          <w:p>
            <w:r>
              <w:t>0.30</w:t>
            </w:r>
          </w:p>
        </w:tc>
        <w:tc>
          <w:tcPr>
            <w:tcW w:type="dxa" w:w="1872"/>
          </w:tcPr>
          <w:p>
            <w:r>
              <w:t>100.0%</w:t>
            </w:r>
          </w:p>
        </w:tc>
        <w:tc>
          <w:tcPr>
            <w:tcW w:type="dxa" w:w="1872"/>
          </w:tcPr>
          <w:p>
            <w:r>
              <w:t>100.0%</w:t>
            </w:r>
          </w:p>
        </w:tc>
        <w:tc>
          <w:tcPr>
            <w:tcW w:type="dxa" w:w="1872"/>
          </w:tcPr>
          <w:p>
            <w:r>
              <w:t>1.000</w:t>
            </w:r>
          </w:p>
        </w:tc>
        <w:tc>
          <w:tcPr>
            <w:tcW w:type="dxa" w:w="1872"/>
          </w:tcPr>
          <w:p>
            <w:r>
              <w:t>0</w:t>
            </w:r>
          </w:p>
        </w:tc>
      </w:tr>
      <w:tr>
        <w:tc>
          <w:tcPr>
            <w:tcW w:type="dxa" w:w="1872"/>
          </w:tcPr>
          <w:p>
            <w:r>
              <w:t>0.50</w:t>
            </w:r>
          </w:p>
        </w:tc>
        <w:tc>
          <w:tcPr>
            <w:tcW w:type="dxa" w:w="1872"/>
          </w:tcPr>
          <w:p>
            <w:r>
              <w:t>100.0%</w:t>
            </w:r>
          </w:p>
        </w:tc>
        <w:tc>
          <w:tcPr>
            <w:tcW w:type="dxa" w:w="1872"/>
          </w:tcPr>
          <w:p>
            <w:r>
              <w:t>100.0%</w:t>
            </w:r>
          </w:p>
        </w:tc>
        <w:tc>
          <w:tcPr>
            <w:tcW w:type="dxa" w:w="1872"/>
          </w:tcPr>
          <w:p>
            <w:r>
              <w:t>1.000</w:t>
            </w:r>
          </w:p>
        </w:tc>
        <w:tc>
          <w:tcPr>
            <w:tcW w:type="dxa" w:w="1872"/>
          </w:tcPr>
          <w:p>
            <w:r>
              <w:t>0</w:t>
            </w:r>
          </w:p>
        </w:tc>
      </w:tr>
      <w:tr>
        <w:tc>
          <w:tcPr>
            <w:tcW w:type="dxa" w:w="1872"/>
          </w:tcPr>
          <w:p>
            <w:r>
              <w:t>0.70</w:t>
            </w:r>
          </w:p>
        </w:tc>
        <w:tc>
          <w:tcPr>
            <w:tcW w:type="dxa" w:w="1872"/>
          </w:tcPr>
          <w:p>
            <w:r>
              <w:t>98.7%</w:t>
            </w:r>
          </w:p>
        </w:tc>
        <w:tc>
          <w:tcPr>
            <w:tcW w:type="dxa" w:w="1872"/>
          </w:tcPr>
          <w:p>
            <w:r>
              <w:t>100.0%</w:t>
            </w:r>
          </w:p>
        </w:tc>
        <w:tc>
          <w:tcPr>
            <w:tcW w:type="dxa" w:w="1872"/>
          </w:tcPr>
          <w:p>
            <w:r>
              <w:t>0.993</w:t>
            </w:r>
          </w:p>
        </w:tc>
        <w:tc>
          <w:tcPr>
            <w:tcW w:type="dxa" w:w="1872"/>
          </w:tcPr>
          <w:p>
            <w:r>
              <w:t>0</w:t>
            </w:r>
          </w:p>
        </w:tc>
      </w:tr>
      <w:tr>
        <w:tc>
          <w:tcPr>
            <w:tcW w:type="dxa" w:w="1872"/>
          </w:tcPr>
          <w:p>
            <w:r>
              <w:t>0.90</w:t>
            </w:r>
          </w:p>
        </w:tc>
        <w:tc>
          <w:tcPr>
            <w:tcW w:type="dxa" w:w="1872"/>
          </w:tcPr>
          <w:p>
            <w:r>
              <w:t>97.3%</w:t>
            </w:r>
          </w:p>
        </w:tc>
        <w:tc>
          <w:tcPr>
            <w:tcW w:type="dxa" w:w="1872"/>
          </w:tcPr>
          <w:p>
            <w:r>
              <w:t>100.0%</w:t>
            </w:r>
          </w:p>
        </w:tc>
        <w:tc>
          <w:tcPr>
            <w:tcW w:type="dxa" w:w="1872"/>
          </w:tcPr>
          <w:p>
            <w:r>
              <w:t>0.986</w:t>
            </w:r>
          </w:p>
        </w:tc>
        <w:tc>
          <w:tcPr>
            <w:tcW w:type="dxa" w:w="1872"/>
          </w:tcPr>
          <w:p>
            <w:r>
              <w:t>0</w:t>
            </w:r>
          </w:p>
        </w:tc>
      </w:tr>
    </w:tbl>
    <w:p/>
    <w:p>
      <w:pPr>
        <w:spacing w:after="120" w:line="360" w:lineRule="auto"/>
      </w:pPr>
      <w:r>
        <w:rPr>
          <w:rFonts w:ascii="Times New Roman" w:hAnsi="Times New Roman"/>
          <w:b w:val="0"/>
          <w:i/>
          <w:sz w:val="20"/>
        </w:rPr>
        <w:t>[Figure 6: Threshold analysis showing F1, recall, and precision across thresholds.]</w:t>
      </w:r>
    </w:p>
    <w:p>
      <w:pPr>
        <w:spacing w:after="120" w:line="360" w:lineRule="auto"/>
      </w:pPr>
      <w:r>
        <w:rPr>
          <w:rFonts w:ascii="Times New Roman" w:hAnsi="Times New Roman"/>
          <w:b w:val="0"/>
          <w:i w:val="0"/>
          <w:sz w:val="24"/>
        </w:rPr>
        <w:t>The threshold analysis demonstrates that the model maintains perfect precision (100.0%) with zero false positives at every threshold from 0.10 to 0.90. At the most conservative threshold of 0.90, recall remains at 97.3% with zero false positives. This wide operating margin is clinically significant — it means the screening tool can be deployed at a high-confidence threshold without sacrificing detection of true AML cases, minimizing unnecessary confirmatory testing while maintaining near-perfect sensitivity.</w:t>
      </w:r>
    </w:p>
    <w:p>
      <w:pPr>
        <w:spacing w:after="120" w:line="360" w:lineRule="auto"/>
        <w:jc w:val="center"/>
      </w:pPr>
      <w:r>
        <w:rPr>
          <w:rFonts w:ascii="Times New Roman" w:hAnsi="Times New Roman"/>
          <w:b/>
          <w:i w:val="0"/>
          <w:sz w:val="20"/>
        </w:rPr>
        <w:t>Table 8: Confidence Distribution per Class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Class</w:t>
            </w:r>
          </w:p>
        </w:tc>
        <w:tc>
          <w:tcPr>
            <w:tcW w:type="dxa" w:w="2340"/>
          </w:tcPr>
          <w:p>
            <w:r>
              <w:rPr>
                <w:b/>
              </w:rPr>
              <w:t>Mean Confidence</w:t>
            </w:r>
          </w:p>
        </w:tc>
        <w:tc>
          <w:tcPr>
            <w:tcW w:type="dxa" w:w="2340"/>
          </w:tcPr>
          <w:p>
            <w:r>
              <w:rPr>
                <w:b/>
              </w:rPr>
              <w:t>Minimum Confidence</w:t>
            </w:r>
          </w:p>
        </w:tc>
        <w:tc>
          <w:tcPr>
            <w:tcW w:type="dxa" w:w="2340"/>
          </w:tcPr>
          <w:p>
            <w:r>
              <w:rPr>
                <w:b/>
              </w:rPr>
              <w:t>Std Deviation</w:t>
            </w:r>
          </w:p>
        </w:tc>
      </w:tr>
      <w:tr>
        <w:tc>
          <w:tcPr>
            <w:tcW w:type="dxa" w:w="2340"/>
          </w:tcPr>
          <w:p>
            <w:r>
              <w:t>Monocyte (Non-AML)</w:t>
            </w:r>
          </w:p>
        </w:tc>
        <w:tc>
          <w:tcPr>
            <w:tcW w:type="dxa" w:w="2340"/>
          </w:tcPr>
          <w:p>
            <w:r>
              <w:t>0.989</w:t>
            </w:r>
          </w:p>
        </w:tc>
        <w:tc>
          <w:tcPr>
            <w:tcW w:type="dxa" w:w="2340"/>
          </w:tcPr>
          <w:p>
            <w:r>
              <w:t>0.868</w:t>
            </w:r>
          </w:p>
        </w:tc>
        <w:tc>
          <w:tcPr>
            <w:tcW w:type="dxa" w:w="2340"/>
          </w:tcPr>
          <w:p>
            <w:r>
              <w:t>0.015</w:t>
            </w:r>
          </w:p>
        </w:tc>
      </w:tr>
      <w:tr>
        <w:tc>
          <w:tcPr>
            <w:tcW w:type="dxa" w:w="2340"/>
          </w:tcPr>
          <w:p>
            <w:r>
              <w:t>Myeloblast (AML)</w:t>
            </w:r>
          </w:p>
        </w:tc>
        <w:tc>
          <w:tcPr>
            <w:tcW w:type="dxa" w:w="2340"/>
          </w:tcPr>
          <w:p>
            <w:r>
              <w:t>0.973</w:t>
            </w:r>
          </w:p>
        </w:tc>
        <w:tc>
          <w:tcPr>
            <w:tcW w:type="dxa" w:w="2340"/>
          </w:tcPr>
          <w:p>
            <w:r>
              <w:t>0.694</w:t>
            </w:r>
          </w:p>
        </w:tc>
        <w:tc>
          <w:tcPr>
            <w:tcW w:type="dxa" w:w="2340"/>
          </w:tcPr>
          <w:p>
            <w:r>
              <w:t>0.038</w:t>
            </w:r>
          </w:p>
        </w:tc>
      </w:tr>
      <w:tr>
        <w:tc>
          <w:tcPr>
            <w:tcW w:type="dxa" w:w="2340"/>
          </w:tcPr>
          <w:p>
            <w:r>
              <w:t>Overall</w:t>
            </w:r>
          </w:p>
        </w:tc>
        <w:tc>
          <w:tcPr>
            <w:tcW w:type="dxa" w:w="2340"/>
          </w:tcPr>
          <w:p>
            <w:r>
              <w:t>0.981</w:t>
            </w:r>
          </w:p>
        </w:tc>
        <w:tc>
          <w:tcPr>
            <w:tcW w:type="dxa" w:w="2340"/>
          </w:tcPr>
          <w:p>
            <w:r>
              <w:t>0.694</w:t>
            </w:r>
          </w:p>
        </w:tc>
        <w:tc>
          <w:tcPr>
            <w:tcW w:type="dxa" w:w="2340"/>
          </w:tcPr>
          <w:p>
            <w:r>
              <w:t>0.029</w:t>
            </w:r>
          </w:p>
        </w:tc>
      </w:tr>
    </w:tbl>
    <w:p/>
    <w:p>
      <w:pPr>
        <w:spacing w:after="120" w:line="360" w:lineRule="auto"/>
      </w:pPr>
      <w:r>
        <w:rPr>
          <w:rFonts w:ascii="Times New Roman" w:hAnsi="Times New Roman"/>
          <w:b w:val="0"/>
          <w:i w:val="0"/>
          <w:sz w:val="24"/>
        </w:rPr>
        <w:t>Prediction confidence was uniformly high across both classes. Monocyte predictions had a mean correct-class confidence of 0.989 (σ=0.015), with a minimum confidence of 0.868 — indicating that even the least confident monocyte classification was still highly decisive. Myeloblast predictions had a mean correct-class confidence of 0.973 (σ=0.038), with a minimum of 0.694. The slightly higher variance in myeloblast confidence is consistent with the greater morphological diversity of blast cells compared to mature monocytes. The overall mean confidence of 0.981 across all 300 test predictions indicates robust and reliable classification.</w:t>
      </w:r>
    </w:p>
    <w:p>
      <w:pPr>
        <w:pStyle w:val="Heading2"/>
      </w:pPr>
      <w:r>
        <w:rPr>
          <w:color w:val="000000"/>
        </w:rPr>
        <w:t>4.6 Desktop Application</w:t>
      </w:r>
    </w:p>
    <w:p>
      <w:pPr>
        <w:spacing w:after="120" w:line="360" w:lineRule="auto"/>
      </w:pPr>
      <w:r>
        <w:rPr>
          <w:rFonts w:ascii="Times New Roman" w:hAnsi="Times New Roman"/>
          <w:b w:val="0"/>
          <w:i w:val="0"/>
          <w:sz w:val="24"/>
        </w:rPr>
        <w:t>The ALNet Screening Tool desktop application was successfully developed and packaged as a standalone executable. The application provides an intuitive two-tab interface (Analyze and History) for laboratory technicians to load single-cell blood smear images, receive real-time AML screening results with confidence scores, and review session history with sortable prediction logs.</w:t>
      </w:r>
    </w:p>
    <w:p>
      <w:pPr>
        <w:spacing w:after="120" w:line="360" w:lineRule="auto"/>
      </w:pPr>
      <w:r>
        <w:rPr>
          <w:rFonts w:ascii="Times New Roman" w:hAnsi="Times New Roman"/>
          <w:b w:val="0"/>
          <w:i/>
          <w:sz w:val="20"/>
        </w:rPr>
        <w:t>[Figure 7: ALNet Screening Tool — Main application interface.]</w:t>
      </w:r>
    </w:p>
    <w:p>
      <w:pPr>
        <w:spacing w:after="120" w:line="360" w:lineRule="auto"/>
      </w:pPr>
      <w:r>
        <w:rPr>
          <w:rFonts w:ascii="Times New Roman" w:hAnsi="Times New Roman"/>
          <w:b w:val="0"/>
          <w:i/>
          <w:sz w:val="20"/>
        </w:rPr>
        <w:t>[Figure 8: Analysis result for a Non-AML case.]</w:t>
      </w:r>
    </w:p>
    <w:p>
      <w:pPr>
        <w:spacing w:after="120" w:line="360" w:lineRule="auto"/>
      </w:pPr>
      <w:r>
        <w:rPr>
          <w:rFonts w:ascii="Times New Roman" w:hAnsi="Times New Roman"/>
          <w:b w:val="0"/>
          <w:i/>
          <w:sz w:val="20"/>
        </w:rPr>
        <w:t>[Figure 9: Analysis result for an AML Detected case.]</w:t>
      </w:r>
    </w:p>
    <w:p>
      <w:pPr>
        <w:pStyle w:val="Heading3"/>
      </w:pPr>
      <w:r>
        <w:rPr>
          <w:color w:val="000000"/>
        </w:rPr>
        <w:t>4.6.1 System Performance Characteristics</w:t>
      </w:r>
    </w:p>
    <w:p>
      <w:pPr>
        <w:spacing w:after="120" w:line="360" w:lineRule="auto"/>
        <w:jc w:val="center"/>
      </w:pPr>
      <w:r>
        <w:rPr>
          <w:rFonts w:ascii="Times New Roman" w:hAnsi="Times New Roman"/>
          <w:b/>
          <w:i w:val="0"/>
          <w:sz w:val="20"/>
        </w:rPr>
        <w:t>Table 9: System Performance Benchmarks</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Model Parameters</w:t>
            </w:r>
          </w:p>
        </w:tc>
        <w:tc>
          <w:tcPr>
            <w:tcW w:type="dxa" w:w="4680"/>
          </w:tcPr>
          <w:p>
            <w:r>
              <w:t>27,393</w:t>
            </w:r>
          </w:p>
        </w:tc>
      </w:tr>
      <w:tr>
        <w:tc>
          <w:tcPr>
            <w:tcW w:type="dxa" w:w="4680"/>
          </w:tcPr>
          <w:p>
            <w:r>
              <w:t>Model Size on Disk</w:t>
            </w:r>
          </w:p>
        </w:tc>
        <w:tc>
          <w:tcPr>
            <w:tcW w:type="dxa" w:w="4680"/>
          </w:tcPr>
          <w:p>
            <w:r>
              <w:t>136 KB</w:t>
            </w:r>
          </w:p>
        </w:tc>
      </w:tr>
      <w:tr>
        <w:tc>
          <w:tcPr>
            <w:tcW w:type="dxa" w:w="4680"/>
          </w:tcPr>
          <w:p>
            <w:r>
              <w:t>Input Resolution</w:t>
            </w:r>
          </w:p>
        </w:tc>
        <w:tc>
          <w:tcPr>
            <w:tcW w:type="dxa" w:w="4680"/>
          </w:tcPr>
          <w:p>
            <w:r>
              <w:t>224 × 224 × 3</w:t>
            </w:r>
          </w:p>
        </w:tc>
      </w:tr>
      <w:tr>
        <w:tc>
          <w:tcPr>
            <w:tcW w:type="dxa" w:w="4680"/>
          </w:tcPr>
          <w:p>
            <w:r>
              <w:t>Inference Time (GPU, GTX 1650)</w:t>
            </w:r>
          </w:p>
        </w:tc>
        <w:tc>
          <w:tcPr>
            <w:tcW w:type="dxa" w:w="4680"/>
          </w:tcPr>
          <w:p>
            <w:r>
              <w:t>&lt; 50 ms per image</w:t>
            </w:r>
          </w:p>
        </w:tc>
      </w:tr>
      <w:tr>
        <w:tc>
          <w:tcPr>
            <w:tcW w:type="dxa" w:w="4680"/>
          </w:tcPr>
          <w:p>
            <w:r>
              <w:t>Inference Time (CPU, i5-12400F)</w:t>
            </w:r>
          </w:p>
        </w:tc>
        <w:tc>
          <w:tcPr>
            <w:tcW w:type="dxa" w:w="4680"/>
          </w:tcPr>
          <w:p>
            <w:r>
              <w:t>&lt; 100 ms per image</w:t>
            </w:r>
          </w:p>
        </w:tc>
      </w:tr>
      <w:tr>
        <w:tc>
          <w:tcPr>
            <w:tcW w:type="dxa" w:w="4680"/>
          </w:tcPr>
          <w:p>
            <w:r>
              <w:t>Application Size (standalone .exe)</w:t>
            </w:r>
          </w:p>
        </w:tc>
        <w:tc>
          <w:tcPr>
            <w:tcW w:type="dxa" w:w="4680"/>
          </w:tcPr>
          <w:p>
            <w:r>
              <w:t>~850 MB (includes PyTorch runtime)</w:t>
            </w:r>
          </w:p>
        </w:tc>
      </w:tr>
    </w:tbl>
    <w:p/>
    <w:p>
      <w:pPr>
        <w:pStyle w:val="Heading2"/>
      </w:pPr>
      <w:r>
        <w:rPr>
          <w:color w:val="000000"/>
        </w:rPr>
        <w:t>4.7 Discussion</w:t>
      </w:r>
    </w:p>
    <w:p>
      <w:pPr>
        <w:spacing w:after="120" w:line="360" w:lineRule="auto"/>
      </w:pPr>
      <w:r>
        <w:rPr>
          <w:rFonts w:ascii="Times New Roman" w:hAnsi="Times New Roman"/>
          <w:b w:val="0"/>
          <w:i w:val="0"/>
          <w:sz w:val="24"/>
        </w:rPr>
        <w:t>The results demonstrate that a lightweight deep learning architecture (27,393 parameters) can achieve perfect discriminative performance between monocytes and myeloblasts when trained on a well-curated, stain-normalized dataset. Several findings merit detailed discussion.</w:t>
      </w:r>
    </w:p>
    <w:p>
      <w:pPr>
        <w:spacing w:after="120" w:line="360" w:lineRule="auto"/>
      </w:pPr>
      <w:r>
        <w:rPr>
          <w:rFonts w:ascii="Times New Roman" w:hAnsi="Times New Roman"/>
          <w:b w:val="0"/>
          <w:i w:val="0"/>
          <w:sz w:val="24"/>
        </w:rPr>
        <w:t>First, the critical importance of stain normalization cannot be overstated. The pre-normalization diagnostic analysis revealed that colour alone could separate the two classes with 98.2% accuracy — any model, regardless of architecture, would exploit this shortcut and fail to learn morphological features. The Reinhard normalization pipeline systematically eliminated this confound, reducing colour separability to random chance (50.0%). This preprocessing step is a methodological contribution that should be standard practice in blood smear AI applications, particularly when working with multi-source or publicly available datasets where staining protocols may differ between classes.</w:t>
      </w:r>
    </w:p>
    <w:p>
      <w:pPr>
        <w:spacing w:after="120" w:line="360" w:lineRule="auto"/>
      </w:pPr>
      <w:r>
        <w:rPr>
          <w:rFonts w:ascii="Times New Roman" w:hAnsi="Times New Roman"/>
          <w:b w:val="0"/>
          <w:i w:val="0"/>
          <w:sz w:val="24"/>
        </w:rPr>
        <w:t>Second, the model's prediction confidence distribution provides evidence of genuine feature learning. The mean confidence of 0.981 across all 300 test images, with a minimum of 0.694 on the most ambiguous case, indicates clean class separation rather than marginal decisions. In clinical screening applications, high-confidence predictions are essential — a screening tool that frequently produces borderline (0.51-0.55) probabilities undermines user trust and clinical utility.</w:t>
      </w:r>
    </w:p>
    <w:p>
      <w:pPr>
        <w:spacing w:after="120" w:line="360" w:lineRule="auto"/>
      </w:pPr>
      <w:r>
        <w:rPr>
          <w:rFonts w:ascii="Times New Roman" w:hAnsi="Times New Roman"/>
          <w:b w:val="0"/>
          <w:i w:val="0"/>
          <w:sz w:val="24"/>
        </w:rPr>
        <w:t>Third, the training efficiency demonstrates that state-of-the-art performance in medical image classification does not require large-scale computational infrastructure. The entire training pipeline — data loading, stain normalization, online augmentation, and model training — was completed on a consumer-grade GPU (GTX 1650, 4 GB VRAM) in under one hour. This has important implications for LMIC research capacity: institutions without access to cloud GPU clusters or data centre infrastructure can still develop and train high-performing medical AI models using appropriately designed lightweight architectures.</w:t>
      </w:r>
    </w:p>
    <w:p>
      <w:pPr>
        <w:spacing w:after="120" w:line="360" w:lineRule="auto"/>
      </w:pPr>
      <w:r>
        <w:rPr>
          <w:rFonts w:ascii="Times New Roman" w:hAnsi="Times New Roman"/>
          <w:b w:val="0"/>
          <w:i w:val="0"/>
          <w:sz w:val="24"/>
        </w:rPr>
        <w:t>Fourth, the threshold analysis reveals an unusually wide safe operating range. The model maintains 97.3% recall with zero false positives at a threshold of 0.90 — most classifiers exhibit a sharp precision-recall trade-off where increasing the threshold beyond the optimum rapidly degrades recall. ALNet's flat precision curve across the full threshold range indicates that the learned feature representations produce well-separated class probability distributions, a property that is highly desirable for clinical deployment where threshold calibration against local disease prevalence may be necessary.</w:t>
      </w:r>
    </w:p>
    <w:p>
      <w:r>
        <w:br w:type="page"/>
      </w:r>
    </w:p>
    <w:p>
      <w:pPr>
        <w:pStyle w:val="Heading1"/>
      </w:pPr>
      <w:r>
        <w:rPr>
          <w:color w:val="000000"/>
        </w:rPr>
        <w:t>CHAPTER 5: CONCLUSION AND RECOMMENDATIONS</w:t>
      </w:r>
    </w:p>
    <w:p>
      <w:pPr>
        <w:pStyle w:val="Heading2"/>
      </w:pPr>
      <w:r>
        <w:rPr>
          <w:color w:val="000000"/>
        </w:rPr>
        <w:t>5.1 Achievement of Objectives</w:t>
      </w:r>
    </w:p>
    <w:p>
      <w:pPr>
        <w:spacing w:after="120" w:line="360" w:lineRule="auto"/>
      </w:pPr>
      <w:r>
        <w:rPr>
          <w:rFonts w:ascii="Times New Roman" w:hAnsi="Times New Roman"/>
          <w:b/>
          <w:i w:val="0"/>
          <w:sz w:val="24"/>
        </w:rPr>
        <w:t>Objective 1: Develop and train a detection model based on ALNet architecture.</w:t>
      </w:r>
    </w:p>
    <w:p>
      <w:pPr>
        <w:spacing w:after="120" w:line="360" w:lineRule="auto"/>
      </w:pPr>
      <w:r>
        <w:rPr>
          <w:rFonts w:ascii="Times New Roman" w:hAnsi="Times New Roman"/>
          <w:b w:val="0"/>
          <w:i w:val="0"/>
          <w:sz w:val="24"/>
        </w:rPr>
        <w:t>This objective was achieved. ALNet was successfully designed, implemented, and trained on 2,000 stain-normalized blood smear images. The model architecture follows the proposed design: two depthwise separable convolutional blocks with localized sparse attention, max pooling transition, and a two-layer dense classification head with dropout regularization. The model contains 27,393 parameters and achieved stable, rapid convergence on modest GPU hardware.</w:t>
      </w:r>
    </w:p>
    <w:p>
      <w:pPr>
        <w:spacing w:after="120" w:line="360" w:lineRule="auto"/>
      </w:pPr>
      <w:r>
        <w:rPr>
          <w:rFonts w:ascii="Times New Roman" w:hAnsi="Times New Roman"/>
          <w:b/>
          <w:i w:val="0"/>
          <w:sz w:val="24"/>
        </w:rPr>
        <w:t>Objective 2: Implement stain normalization to eliminate colour-domain confounds.</w:t>
      </w:r>
    </w:p>
    <w:p>
      <w:pPr>
        <w:spacing w:after="120" w:line="360" w:lineRule="auto"/>
      </w:pPr>
      <w:r>
        <w:rPr>
          <w:rFonts w:ascii="Times New Roman" w:hAnsi="Times New Roman"/>
          <w:b w:val="0"/>
          <w:i w:val="0"/>
          <w:sz w:val="24"/>
        </w:rPr>
        <w:t>This objective was achieved and was foundational to the study's validity. Reinhard stain normalization in LAB colour space was successfully implemented and validated through systematic pre- and post-normalization diagnostic checks. Colour-based class separability was reduced from 98.2% to 50.0% (random chance), and size-based differences were eliminated through uniform 400×400 padding. The normalization pipeline processed all 2,000 images without failure.</w:t>
      </w:r>
    </w:p>
    <w:p>
      <w:pPr>
        <w:spacing w:after="120" w:line="360" w:lineRule="auto"/>
      </w:pPr>
      <w:r>
        <w:rPr>
          <w:rFonts w:ascii="Times New Roman" w:hAnsi="Times New Roman"/>
          <w:b/>
          <w:i w:val="0"/>
          <w:sz w:val="24"/>
        </w:rPr>
        <w:t>Objective 3: Test and evaluate the performance of the model.</w:t>
      </w:r>
    </w:p>
    <w:p>
      <w:pPr>
        <w:spacing w:after="120" w:line="360" w:lineRule="auto"/>
      </w:pPr>
      <w:r>
        <w:rPr>
          <w:rFonts w:ascii="Times New Roman" w:hAnsi="Times New Roman"/>
          <w:b w:val="0"/>
          <w:i w:val="0"/>
          <w:sz w:val="24"/>
        </w:rPr>
        <w:t>This objective was achieved with results exceeding expectations. The model achieved perfect classification on the 300-image test set: 100.0% accuracy, AUC-ROC of 1.000, F1-score of 1.000, with zero false positives and zero false negatives. Mean prediction confidence was 0.981 across all test samples. The threshold analysis demonstrated a wide safe operating range with 97.3% recall at the conservative 0.90 threshold with zero false positives.</w:t>
      </w:r>
    </w:p>
    <w:p>
      <w:pPr>
        <w:spacing w:after="120" w:line="360" w:lineRule="auto"/>
      </w:pPr>
      <w:r>
        <w:rPr>
          <w:rFonts w:ascii="Times New Roman" w:hAnsi="Times New Roman"/>
          <w:b/>
          <w:i w:val="0"/>
          <w:sz w:val="24"/>
        </w:rPr>
        <w:t>Objective 4: Develop a user interface to support easy utilisability.</w:t>
      </w:r>
    </w:p>
    <w:p>
      <w:pPr>
        <w:spacing w:after="120" w:line="360" w:lineRule="auto"/>
      </w:pPr>
      <w:r>
        <w:rPr>
          <w:rFonts w:ascii="Times New Roman" w:hAnsi="Times New Roman"/>
          <w:b w:val="0"/>
          <w:i w:val="0"/>
          <w:sz w:val="24"/>
        </w:rPr>
        <w:t>This objective was achieved. A fully functional desktop application was developed using CustomTkinter, providing an intuitive interface for loading blood smear images, automated preprocessing, real-time AML screening with confidence scores, and SQLite-based session logging for audit trail purposes. The application explicitly labels all results as screening flags for human review, consistent with the decision-support scope. The application was packaged as a standalone executable using PyInstaller, enabling one-click deployment without requiring Python or dependency installation.</w:t>
      </w:r>
    </w:p>
    <w:p>
      <w:pPr>
        <w:pStyle w:val="Heading2"/>
      </w:pPr>
      <w:r>
        <w:rPr>
          <w:color w:val="000000"/>
        </w:rPr>
        <w:t>5.2 Answering the Research Questions</w:t>
      </w:r>
    </w:p>
    <w:p>
      <w:pPr>
        <w:spacing w:after="120" w:line="360" w:lineRule="auto"/>
      </w:pPr>
      <w:r>
        <w:rPr>
          <w:rFonts w:ascii="Times New Roman" w:hAnsi="Times New Roman"/>
          <w:b w:val="0"/>
          <w:i w:val="0"/>
          <w:sz w:val="24"/>
        </w:rPr>
        <w:t>RQ1: Is it possible to develop and train an ALNet-based model on AML blood smear images?</w:t>
        <w:br/>
        <w:t>Yes. ALNet was successfully implemented and trained on 2,000 blood smear images, achieving stable convergence in 9 epochs with 100.0% validation accuracy. The model's 27,393-parameter architecture proved highly efficient, completing training on a consumer-grade GTX 1650 GPU in under one hour.</w:t>
      </w:r>
    </w:p>
    <w:p>
      <w:pPr>
        <w:spacing w:after="120" w:line="360" w:lineRule="auto"/>
      </w:pPr>
      <w:r>
        <w:rPr>
          <w:rFonts w:ascii="Times New Roman" w:hAnsi="Times New Roman"/>
          <w:b w:val="0"/>
          <w:i w:val="0"/>
          <w:sz w:val="24"/>
        </w:rPr>
        <w:t>RQ2: Does Reinhard stain normalization effectively eliminate colour-based shortcuts in Wright-Giemsa stained images?</w:t>
        <w:br/>
        <w:t>Yes. Pre-normalization colour-based class separability of 98.2% was reduced to 50.0% (random chance) after Reinhard normalization. Post-normalization diagnostic checks confirmed that no single feature (colour ratio, brightness, edge density) could trivially separate the classes. This validates Reinhard normalization as an effective preprocessing methodology for Wright-Giemsa stained blood smear images.</w:t>
      </w:r>
    </w:p>
    <w:p>
      <w:pPr>
        <w:spacing w:after="120" w:line="360" w:lineRule="auto"/>
      </w:pPr>
      <w:r>
        <w:rPr>
          <w:rFonts w:ascii="Times New Roman" w:hAnsi="Times New Roman"/>
          <w:b w:val="0"/>
          <w:i w:val="0"/>
          <w:sz w:val="24"/>
        </w:rPr>
        <w:t>RQ3: Can the trained ALNet-based model accurately distinguish myeloblasts from monocytes?</w:t>
        <w:br/>
        <w:t>Yes. The model achieved perfect classification on the held-out test set: 100.0% accuracy, AUC-ROC 1.000, F1-score 1.000, with zero false positives and zero false negatives across all 300 test images. Mean prediction confidence was 0.981, and the model maintained 97.3% recall at a conservative 0.90 threshold with zero false positives.</w:t>
      </w:r>
    </w:p>
    <w:p>
      <w:pPr>
        <w:spacing w:after="120" w:line="360" w:lineRule="auto"/>
      </w:pPr>
      <w:r>
        <w:rPr>
          <w:rFonts w:ascii="Times New Roman" w:hAnsi="Times New Roman"/>
          <w:b w:val="0"/>
          <w:i w:val="0"/>
          <w:sz w:val="24"/>
        </w:rPr>
        <w:t>RQ4: Is it possible to integrate the model into a usable desktop application for clinical deployment?</w:t>
        <w:br/>
        <w:t>Yes. The ALNet Screening Tool desktop application successfully integrates the trained model with a user-friendly interface, automated preprocessing, real-time AML screening with confidence scores, and SQLite-based audit logging. The application was packaged as a standalone executable requiring no Python or dependency installation, making it deployable on standard laboratory workstations in LMIC settings.</w:t>
      </w:r>
    </w:p>
    <w:p>
      <w:pPr>
        <w:pStyle w:val="Heading2"/>
      </w:pPr>
      <w:r>
        <w:rPr>
          <w:color w:val="000000"/>
        </w:rPr>
        <w:t>5.3 Limitations</w:t>
      </w:r>
    </w:p>
    <w:p>
      <w:pPr>
        <w:spacing w:after="120" w:line="360" w:lineRule="auto"/>
      </w:pPr>
      <w:r>
        <w:rPr>
          <w:rFonts w:ascii="Times New Roman" w:hAnsi="Times New Roman"/>
          <w:b w:val="0"/>
          <w:i w:val="0"/>
          <w:sz w:val="24"/>
        </w:rPr>
        <w:t>1. Single Dataset Source: The model was trained exclusively on the Kaggle blood cell dataset. While the balanced class distribution and stain normalization provide strong internal validity, external validation on multi-institutional data with different staining protocols and microscope configurations is necessary before clinical deployment.</w:t>
      </w:r>
    </w:p>
    <w:p>
      <w:pPr>
        <w:spacing w:after="120" w:line="360" w:lineRule="auto"/>
      </w:pPr>
      <w:r>
        <w:rPr>
          <w:rFonts w:ascii="Times New Roman" w:hAnsi="Times New Roman"/>
          <w:b w:val="0"/>
          <w:i w:val="0"/>
          <w:sz w:val="24"/>
        </w:rPr>
        <w:t>2. Binary Classification Only: The model distinguishes only between monocytes and myeloblasts. It does not differentiate between AML subtypes (M0-M7 FAB classification) or detect other haematological malignancies, limiting its diagnostic scope.</w:t>
      </w:r>
    </w:p>
    <w:p>
      <w:pPr>
        <w:spacing w:after="120" w:line="360" w:lineRule="auto"/>
      </w:pPr>
      <w:r>
        <w:rPr>
          <w:rFonts w:ascii="Times New Roman" w:hAnsi="Times New Roman"/>
          <w:b w:val="0"/>
          <w:i w:val="0"/>
          <w:sz w:val="24"/>
        </w:rPr>
        <w:t>3. Single-Cell Input Requirement: The current model operates on pre-extracted single-cell images rather than full-field blood smear images. A cell detection/localization module would be required upstream for fully automated pipeline deployment.</w:t>
      </w:r>
    </w:p>
    <w:p>
      <w:pPr>
        <w:spacing w:after="120" w:line="360" w:lineRule="auto"/>
      </w:pPr>
      <w:r>
        <w:rPr>
          <w:rFonts w:ascii="Times New Roman" w:hAnsi="Times New Roman"/>
          <w:b w:val="0"/>
          <w:i w:val="0"/>
          <w:sz w:val="24"/>
        </w:rPr>
        <w:t>4. No Patient-Level Split: Due to anonymized filenames in the source dataset, the data split was at the image level rather than the patient level. If multiple single-cell images from the same patient appear across splits, this may introduce subtle data leakage.</w:t>
      </w:r>
    </w:p>
    <w:p>
      <w:pPr>
        <w:spacing w:after="120" w:line="360" w:lineRule="auto"/>
      </w:pPr>
      <w:r>
        <w:rPr>
          <w:rFonts w:ascii="Times New Roman" w:hAnsi="Times New Roman"/>
          <w:b w:val="0"/>
          <w:i w:val="0"/>
          <w:sz w:val="24"/>
        </w:rPr>
        <w:t>5. Computational Requirements for Normalization: While the trained model is extremely lightweight (136 KB), the Reinhard normalization preprocessing requires per-image LAB colour space conversion and statistics matching, which adds computational overhead during batch processing of large slide collections.</w:t>
      </w:r>
    </w:p>
    <w:p>
      <w:pPr>
        <w:pStyle w:val="Heading2"/>
      </w:pPr>
      <w:r>
        <w:rPr>
          <w:color w:val="000000"/>
        </w:rPr>
        <w:t>5.4 Recommendations for Future Work</w:t>
      </w:r>
    </w:p>
    <w:p>
      <w:pPr>
        <w:spacing w:after="120" w:line="360" w:lineRule="auto"/>
      </w:pPr>
      <w:r>
        <w:rPr>
          <w:rFonts w:ascii="Times New Roman" w:hAnsi="Times New Roman"/>
          <w:b w:val="0"/>
          <w:i w:val="0"/>
          <w:sz w:val="24"/>
        </w:rPr>
        <w:t>1. External Validation: The model should be prospectively validated on blood smear images from multiple laboratories and staining protocols to establish real-world clinical performance and assess robustness to staining variability beyond what Reinhard normalization can address.</w:t>
      </w:r>
    </w:p>
    <w:p>
      <w:pPr>
        <w:spacing w:after="120" w:line="360" w:lineRule="auto"/>
      </w:pPr>
      <w:r>
        <w:rPr>
          <w:rFonts w:ascii="Times New Roman" w:hAnsi="Times New Roman"/>
          <w:b w:val="0"/>
          <w:i w:val="0"/>
          <w:sz w:val="24"/>
        </w:rPr>
        <w:t>2. Multi-Class Classification: Extending ALNet to classify additional cell types (lymphocytes, neutrophils, eosinophils, basophils, promyelocytes, and AML subtypes) would increase clinical utility for differential diagnosis and treatment planning.</w:t>
      </w:r>
    </w:p>
    <w:p>
      <w:pPr>
        <w:spacing w:after="120" w:line="360" w:lineRule="auto"/>
      </w:pPr>
      <w:r>
        <w:rPr>
          <w:rFonts w:ascii="Times New Roman" w:hAnsi="Times New Roman"/>
          <w:b w:val="0"/>
          <w:i w:val="0"/>
          <w:sz w:val="24"/>
        </w:rPr>
        <w:t>3. Full-Field Image Processing: Integrating a cell detection and segmentation module would enable end-to-end processing of whole blood smear images, eliminating the manual cell extraction step and enabling batch screening of entire slides.</w:t>
      </w:r>
    </w:p>
    <w:p>
      <w:pPr>
        <w:spacing w:after="120" w:line="360" w:lineRule="auto"/>
      </w:pPr>
      <w:r>
        <w:rPr>
          <w:rFonts w:ascii="Times New Roman" w:hAnsi="Times New Roman"/>
          <w:b w:val="0"/>
          <w:i w:val="0"/>
          <w:sz w:val="24"/>
        </w:rPr>
        <w:t>4. Prospective Clinical Study: A prospective validation study in partnership with the Uganda Cancer Institute would provide real-world evidence of clinical utility, user acceptance, and workflow integration in an LMIC clinical setting.</w:t>
      </w:r>
    </w:p>
    <w:p>
      <w:pPr>
        <w:spacing w:after="120" w:line="360" w:lineRule="auto"/>
      </w:pPr>
      <w:r>
        <w:rPr>
          <w:rFonts w:ascii="Times New Roman" w:hAnsi="Times New Roman"/>
          <w:b w:val="0"/>
          <w:i w:val="0"/>
          <w:sz w:val="24"/>
        </w:rPr>
        <w:t>5. Model Optimization: Exploring INT8 quantization and ONNX conversion would further reduce the model's computational footprint and enable deployment on mobile devices or embedded systems for point-of-care screening in primary health facilities.</w:t>
      </w:r>
    </w:p>
    <w:p>
      <w:pPr>
        <w:spacing w:after="120" w:line="360" w:lineRule="auto"/>
      </w:pPr>
      <w:r>
        <w:rPr>
          <w:rFonts w:ascii="Times New Roman" w:hAnsi="Times New Roman"/>
          <w:b w:val="0"/>
          <w:i w:val="0"/>
          <w:sz w:val="24"/>
        </w:rPr>
        <w:t>6. Explainability Integration: Implementing Grad-CAM or SHAP-based saliency maps would provide visual explanations of model predictions, increasing clinician trust and enabling verification that the model is attending to diagnostically relevant cellular regions.</w:t>
      </w:r>
    </w:p>
    <w:p>
      <w:pPr>
        <w:spacing w:after="120" w:line="360" w:lineRule="auto"/>
      </w:pPr>
      <w:r>
        <w:rPr>
          <w:rFonts w:ascii="Times New Roman" w:hAnsi="Times New Roman"/>
          <w:b w:val="0"/>
          <w:i w:val="0"/>
          <w:sz w:val="24"/>
        </w:rPr>
        <w:t>7. Multi-Source Stain Normalization Benchmark: A systematic comparison of Reinhard, Macenko, Vahadane, and CycleGAN-based stain normalization methods on Wright-Giemsa blood smear images would establish best practices for the haematological AI community.</w:t>
      </w:r>
    </w:p>
    <w:p>
      <w:r>
        <w:br w:type="page"/>
      </w:r>
    </w:p>
    <w:p>
      <w:pPr>
        <w:pStyle w:val="Heading1"/>
      </w:pPr>
      <w:r>
        <w:rPr>
          <w:color w:val="000000"/>
        </w:rPr>
        <w:t>REFERENCES</w:t>
      </w:r>
    </w:p>
    <w:p>
      <w:pPr>
        <w:spacing w:after="120" w:line="360" w:lineRule="auto"/>
      </w:pPr>
      <w:r>
        <w:rPr>
          <w:rFonts w:ascii="Times New Roman" w:hAnsi="Times New Roman"/>
          <w:b w:val="0"/>
          <w:i w:val="0"/>
          <w:sz w:val="22"/>
        </w:rPr>
        <w:t>[1] Dores, G. M., et al. (2012). Acute leukemia incidence and patient survival among children and adults in the United States, 2001-2007. Blood, 119(1), 34-43.</w:t>
      </w:r>
    </w:p>
    <w:p>
      <w:pPr>
        <w:spacing w:after="120" w:line="360" w:lineRule="auto"/>
      </w:pPr>
      <w:r>
        <w:rPr>
          <w:rFonts w:ascii="Times New Roman" w:hAnsi="Times New Roman"/>
          <w:b w:val="0"/>
          <w:i w:val="0"/>
          <w:sz w:val="22"/>
        </w:rPr>
        <w:t>[2] Kansal, R. (2019). Classification of acute myeloid leukemia by the revised fourth edition WHO criteria. Human Pathology, 90, 80-96.</w:t>
      </w:r>
    </w:p>
    <w:p>
      <w:pPr>
        <w:spacing w:after="120" w:line="360" w:lineRule="auto"/>
      </w:pPr>
      <w:r>
        <w:rPr>
          <w:rFonts w:ascii="Times New Roman" w:hAnsi="Times New Roman"/>
          <w:b w:val="0"/>
          <w:i w:val="0"/>
          <w:sz w:val="22"/>
        </w:rPr>
        <w:t>[3] Munroe, M., et al. (2025). Low survival in younger adults with AML in Tanzania. PLoS One, 20(9), e0332237.</w:t>
      </w:r>
    </w:p>
    <w:p>
      <w:pPr>
        <w:spacing w:after="120" w:line="360" w:lineRule="auto"/>
      </w:pPr>
      <w:r>
        <w:rPr>
          <w:rFonts w:ascii="Times New Roman" w:hAnsi="Times New Roman"/>
          <w:b w:val="0"/>
          <w:i w:val="0"/>
          <w:sz w:val="22"/>
        </w:rPr>
        <w:t>[4] Matek, C., et al. (2019). A Single-cell Morphological Dataset of Leukocytes from AML Patients and Non-malignant Controls (AML-Cytomorphology_LMU). The Cancer Imaging Archive.</w:t>
      </w:r>
    </w:p>
    <w:p>
      <w:pPr>
        <w:spacing w:after="120" w:line="360" w:lineRule="auto"/>
      </w:pPr>
      <w:r>
        <w:rPr>
          <w:rFonts w:ascii="Times New Roman" w:hAnsi="Times New Roman"/>
          <w:b w:val="0"/>
          <w:i w:val="0"/>
          <w:sz w:val="22"/>
        </w:rPr>
        <w:t>[5] Singh, S. (2024). Blood Cell Images for Cancer Detection. Kaggle. https://www.kaggle.com/datasets/sumithsingh/blood-cell-images-for-cancer-detection</w:t>
      </w:r>
    </w:p>
    <w:p>
      <w:pPr>
        <w:spacing w:after="120" w:line="360" w:lineRule="auto"/>
      </w:pPr>
      <w:r>
        <w:rPr>
          <w:rFonts w:ascii="Times New Roman" w:hAnsi="Times New Roman"/>
          <w:b w:val="0"/>
          <w:i w:val="0"/>
          <w:sz w:val="22"/>
        </w:rPr>
        <w:t>[6] Jabeen, K., et al. (2016). The Impact of Socioeconomic Factors on the Outcome of Childhood ALL Treatment in a LMIC. J. Pediatr. Hematol. Oncol., 38(8), 587-596.</w:t>
      </w:r>
    </w:p>
    <w:p>
      <w:pPr>
        <w:spacing w:after="120" w:line="360" w:lineRule="auto"/>
      </w:pPr>
      <w:r>
        <w:rPr>
          <w:rFonts w:ascii="Times New Roman" w:hAnsi="Times New Roman"/>
          <w:b w:val="0"/>
          <w:i w:val="0"/>
          <w:sz w:val="22"/>
        </w:rPr>
        <w:t>[7] Blumenthal, D., &amp; Patel, B. (2024). The Regulation of Clinical Artificial Intelligence. NEJM AI, 1(8).</w:t>
      </w:r>
    </w:p>
    <w:p>
      <w:pPr>
        <w:spacing w:after="120" w:line="360" w:lineRule="auto"/>
      </w:pPr>
      <w:r>
        <w:rPr>
          <w:rFonts w:ascii="Times New Roman" w:hAnsi="Times New Roman"/>
          <w:b w:val="0"/>
          <w:i w:val="0"/>
          <w:sz w:val="22"/>
        </w:rPr>
        <w:t>[8] Hamet, P., &amp; Tremblay, J. (2017). Artificial intelligence in medicine. Metabolism, 69, S36-S40.</w:t>
      </w:r>
    </w:p>
    <w:p>
      <w:pPr>
        <w:spacing w:after="120" w:line="360" w:lineRule="auto"/>
      </w:pPr>
      <w:r>
        <w:rPr>
          <w:rFonts w:ascii="Times New Roman" w:hAnsi="Times New Roman"/>
          <w:b w:val="0"/>
          <w:i w:val="0"/>
          <w:sz w:val="22"/>
        </w:rPr>
        <w:t>[9] Haferlach, T., et al. (2005). Global approach to the diagnosis of leukemia using gene expression profiling. Blood, 106(4), 1189-1198.</w:t>
      </w:r>
    </w:p>
    <w:p>
      <w:pPr>
        <w:spacing w:after="120" w:line="360" w:lineRule="auto"/>
      </w:pPr>
      <w:r>
        <w:rPr>
          <w:rFonts w:ascii="Times New Roman" w:hAnsi="Times New Roman"/>
          <w:b w:val="0"/>
          <w:i w:val="0"/>
          <w:sz w:val="22"/>
        </w:rPr>
        <w:t>[10] Gao, H., et al. (2024). ALNet: An adaptive channel attention network for accurate indoor visual localization. Expert Syst. Appl., 250, 123792.</w:t>
      </w:r>
    </w:p>
    <w:p>
      <w:pPr>
        <w:spacing w:after="120" w:line="360" w:lineRule="auto"/>
      </w:pPr>
      <w:r>
        <w:rPr>
          <w:rFonts w:ascii="Times New Roman" w:hAnsi="Times New Roman"/>
          <w:b w:val="0"/>
          <w:i w:val="0"/>
          <w:sz w:val="22"/>
        </w:rPr>
        <w:t>[11] Abhishek, A., et al. (2022). Automated classification of acute leukemia using machine learning and deep learning techniques. Biomedical Signal Processing and Control, 72, 103341.</w:t>
      </w:r>
    </w:p>
    <w:p>
      <w:pPr>
        <w:spacing w:after="120" w:line="360" w:lineRule="auto"/>
      </w:pPr>
      <w:r>
        <w:rPr>
          <w:rFonts w:ascii="Times New Roman" w:hAnsi="Times New Roman"/>
          <w:b w:val="0"/>
          <w:i w:val="0"/>
          <w:sz w:val="22"/>
        </w:rPr>
        <w:t>[12] Saeed, A., et al. (2022). A Deep Learning-Based Approach for the Diagnosis of ALL. Electronics, 11(19), 3168.</w:t>
      </w:r>
    </w:p>
    <w:p>
      <w:pPr>
        <w:spacing w:after="120" w:line="360" w:lineRule="auto"/>
      </w:pPr>
      <w:r>
        <w:rPr>
          <w:rFonts w:ascii="Times New Roman" w:hAnsi="Times New Roman"/>
          <w:b w:val="0"/>
          <w:i w:val="0"/>
          <w:sz w:val="22"/>
        </w:rPr>
        <w:t>[13] Hameed, M., et al. (2025). Acute myeloid leukemia classification using ReLViT. Scientific Reports, 15(1), 32798.</w:t>
      </w:r>
    </w:p>
    <w:p>
      <w:pPr>
        <w:spacing w:after="120" w:line="360" w:lineRule="auto"/>
      </w:pPr>
      <w:r>
        <w:rPr>
          <w:rFonts w:ascii="Times New Roman" w:hAnsi="Times New Roman"/>
          <w:b w:val="0"/>
          <w:i w:val="0"/>
          <w:sz w:val="22"/>
        </w:rPr>
        <w:t>[14] Nakisige, C., et al. (2023). Artificial intelligence and visual inspection in cervical cancer screening. Int. J. Gynecological Cancer, 33(10), 1515-1521.</w:t>
      </w:r>
    </w:p>
    <w:p>
      <w:pPr>
        <w:spacing w:after="120" w:line="360" w:lineRule="auto"/>
      </w:pPr>
      <w:r>
        <w:rPr>
          <w:rFonts w:ascii="Times New Roman" w:hAnsi="Times New Roman"/>
          <w:b w:val="0"/>
          <w:i w:val="0"/>
          <w:sz w:val="22"/>
        </w:rPr>
        <w:t>[15] Wu, B., et al. (2025). Global, regional and national epidemiology of acute myeloid leukemia (1990-2021). Annals of Medicine, 57(1).</w:t>
      </w:r>
    </w:p>
    <w:p>
      <w:pPr>
        <w:spacing w:after="120" w:line="360" w:lineRule="auto"/>
      </w:pPr>
      <w:r>
        <w:rPr>
          <w:rFonts w:ascii="Times New Roman" w:hAnsi="Times New Roman"/>
          <w:b w:val="0"/>
          <w:i w:val="0"/>
          <w:sz w:val="22"/>
        </w:rPr>
        <w:t>[16] Shafik, W., et al. (2026). A systematic literature review on transparency and interpretability of AI models in healthcare. Health Technol.</w:t>
      </w:r>
    </w:p>
    <w:p>
      <w:pPr>
        <w:spacing w:after="120" w:line="360" w:lineRule="auto"/>
      </w:pPr>
      <w:r>
        <w:rPr>
          <w:rFonts w:ascii="Times New Roman" w:hAnsi="Times New Roman"/>
          <w:b w:val="0"/>
          <w:i w:val="0"/>
          <w:sz w:val="22"/>
        </w:rPr>
        <w:t>[17] Kalinaki, K. (2025). Internet of Health Things (IoHT): An Exploration of Principles, Components, Architectures, Challenges. Taylor &amp; Francis.</w:t>
      </w:r>
    </w:p>
    <w:p>
      <w:pPr>
        <w:spacing w:after="120" w:line="360" w:lineRule="auto"/>
      </w:pPr>
      <w:r>
        <w:rPr>
          <w:rFonts w:ascii="Times New Roman" w:hAnsi="Times New Roman"/>
          <w:b w:val="0"/>
          <w:i w:val="0"/>
          <w:sz w:val="22"/>
        </w:rPr>
        <w:t>[18] Reinhard, E., et al. (2001). Color transfer between images. IEEE Computer Graphics and Applications, 21(5), 34-41.</w:t>
      </w:r>
    </w:p>
    <w:p>
      <w:pPr>
        <w:spacing w:after="120" w:line="360" w:lineRule="auto"/>
      </w:pPr>
      <w:r>
        <w:rPr>
          <w:rFonts w:ascii="Times New Roman" w:hAnsi="Times New Roman"/>
          <w:b w:val="0"/>
          <w:i w:val="0"/>
          <w:sz w:val="22"/>
        </w:rPr>
        <w:t>[19] Macenko, M., et al. (2009). A method for normalizing histology slides for quantitative analysis. IEEE Int. Symp. Biomedical Imaging, 1107-1110.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