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Financial Analysis Report</w:t>
      </w:r>
    </w:p>
    <w:p>
      <w:r>
        <w:t># ValCo Financial Analysis Report</w:t>
      </w:r>
    </w:p>
    <w:p/>
    <w:p>
      <w:r>
        <w:t>## Executive Summary</w:t>
      </w:r>
    </w:p>
    <w:p/>
    <w:p>
      <w:r>
        <w:t>This report presents a comprehensive discounted cash flow valuation of ValCo, a public company being prepared for sale. Based on a five-year projection model and key financial assumptions, ValCo's enterprise value as of December 31, 2022 is estimated at **€4,423.5 million**, with an implied equity value of **€4,148.5 million**. The valuation assumes a weighted average cost of capital (WACC) of 8.0% and a terminal growth rate of 2.5%.</w:t>
      </w:r>
    </w:p>
    <w:p/>
    <w:p>
      <w:r>
        <w:t>## Company Overview</w:t>
      </w:r>
    </w:p>
    <w:p/>
    <w:p>
      <w:r>
        <w:t>ValCo is a public company undergoing a sale transaction. The valuation exercise is based on a projection period from 2023 to 2027, utilizing a Discounted Cash Flow methodology to determine the company's fair market value.</w:t>
      </w:r>
    </w:p>
    <w:p/>
    <w:p>
      <w:r>
        <w:t>## Financial Model Structure</w:t>
      </w:r>
    </w:p>
    <w:p/>
    <w:p>
      <w:r>
        <w:t>### Key Assumptions (2023E - 2027E)</w:t>
      </w:r>
    </w:p>
    <w:p>
      <w:r>
        <w:t>| Category | Value |</w:t>
      </w:r>
    </w:p>
    <w:p>
      <w:r>
        <w:t>|----------|-------|</w:t>
      </w:r>
    </w:p>
    <w:p>
      <w:r>
        <w:t>| Revenue Growth Rate | 5.0% annually |</w:t>
      </w:r>
    </w:p>
    <w:p>
      <w:r>
        <w:t>| COGS Reduction | 0.15% margin improvement annually |</w:t>
      </w:r>
    </w:p>
    <w:p>
      <w:r>
        <w:t>| SG&amp;A as % of Revenue | 12.0% |</w:t>
      </w:r>
    </w:p>
    <w:p>
      <w:r>
        <w:t>| D&amp;A as % of Revenue | 5.0% |</w:t>
      </w:r>
    </w:p>
    <w:p>
      <w:r>
        <w:t>| Mandatory Debt Repayment | €115 million annually |</w:t>
      </w:r>
    </w:p>
    <w:p>
      <w:r>
        <w:t>| WACC | 8.0% |</w:t>
      </w:r>
    </w:p>
    <w:p>
      <w:r>
        <w:t>| Terminal Growth Rate | 2.5% |</w:t>
      </w:r>
    </w:p>
    <w:p/>
    <w:p>
      <w:r>
        <w:t>## Income Statement Projection (€ million)</w:t>
      </w:r>
    </w:p>
    <w:p/>
    <w:p>
      <w:r>
        <w:t>| Year | 2022A | 2023E | 2024E | 2025E | 2026E | 2027E |</w:t>
      </w:r>
    </w:p>
    <w:p>
      <w:r>
        <w:t>|------|-------|-------|-------|-------|-------|-------|</w:t>
      </w:r>
    </w:p>
    <w:p>
      <w:r>
        <w:t>| Revenue | 950.0 | 997.5 | 1,047.4 | 1,099.7 | 1,154.7 | 1,212.5 |</w:t>
      </w:r>
    </w:p>
    <w:p>
      <w:r>
        <w:t>| COGS | (650.0) | (651.0) | (652.0) | (652.9) | (653.9) | (654.9) |</w:t>
      </w:r>
    </w:p>
    <w:p>
      <w:r>
        <w:t>| Gross Profit | 300.0 | 346.5 | 395.4 | 446.8 | 500.8 | 557.6 |</w:t>
      </w:r>
    </w:p>
    <w:p>
      <w:r>
        <w:t>| Gross Margin | 31.6% | 34.7% | 37.8% | 40.6% | 43.4% | 45.9% |</w:t>
      </w:r>
    </w:p>
    <w:p>
      <w:r>
        <w:t>| SG&amp;A | (115.0) | (119.7) | (125.7) | (131.9) | (138.6) | (145.5) |</w:t>
      </w:r>
    </w:p>
    <w:p>
      <w:r>
        <w:t>| D&amp;A | (50.0) | (49.9) | (52.4) | (54.9) | (57.7) | (60.5) |</w:t>
      </w:r>
    </w:p>
    <w:p>
      <w:r>
        <w:t>| EBIT | 135.0 | 176.9 | 217.3 | 259.9 | 304.5 | 351.6 |</w:t>
      </w:r>
    </w:p>
    <w:p>
      <w:r>
        <w:t>| EBIT Margin | 14.2% | 17.7% | 20.7% | 23.6% | 26.4% | 28.9% |</w:t>
      </w:r>
    </w:p>
    <w:p>
      <w:r>
        <w:t>| Interest Expense | (50.0) | (50.0) | (50.0) | (50.0) | (50.0) | (50.0) |</w:t>
      </w:r>
    </w:p>
    <w:p>
      <w:r>
        <w:t>| Pretax Income | 85.0 | 126.9 | 167.3 | 209.9 | 254.5 | 301.6 |</w:t>
      </w:r>
    </w:p>
    <w:p>
      <w:r>
        <w:t>| Taxes | (25.7) | (35.5) | (46.8) | (58.8) | (71.3) | (84.4) |</w:t>
      </w:r>
    </w:p>
    <w:p>
      <w:r>
        <w:t>| Net Income | 59.3 | 91.4 | 120.5 | 151.1 | 183.2 | 217.1 |</w:t>
      </w:r>
    </w:p>
    <w:p/>
    <w:p>
      <w:r>
        <w:t>## Balance Sheet Projection (€ million)</w:t>
      </w:r>
    </w:p>
    <w:p/>
    <w:p>
      <w:r>
        <w:t>| Item | 2022A | 2023E | 2024E | 2025E | 2026E | 2027E |</w:t>
      </w:r>
    </w:p>
    <w:p>
      <w:r>
        <w:t>|------|-------|-------|-------|-------|-------|-------|</w:t>
      </w:r>
    </w:p>
    <w:p>
      <w:r>
        <w:t>| **Assets** | 643.1 | 643.8 | 668.2 | 709.2 | 750.9 | 779.3 |</w:t>
      </w:r>
    </w:p>
    <w:p>
      <w:r>
        <w:t>| PP&amp;E | 400.0 | 416.3 | 435.0 | 455.0 | 475.7 | 496.8 |</w:t>
      </w:r>
    </w:p>
    <w:p>
      <w:r>
        <w:t>| Inventory | 85.2 | 82.1 | 86.7 | 91.8 | 97.3 | 103.3 |</w:t>
      </w:r>
    </w:p>
    <w:p>
      <w:r>
        <w:t>| Accounts Receivable | 142.9 | 136.0 | 142.8 | 150.0 | 157.5 | 165.4 |</w:t>
      </w:r>
    </w:p>
    <w:p>
      <w:r>
        <w:t>| Cash | 15.0 | 8.4 | 3.7 | (0.6) | (5.6) | (11.2) |</w:t>
      </w:r>
    </w:p>
    <w:p>
      <w:r>
        <w:t>| **Liabilities &amp; Equity** | 643.1 | 643.8 | 668.2 | 709.2 | 750.9 | 779.3 |</w:t>
      </w:r>
    </w:p>
    <w:p>
      <w:r>
        <w:t>| Accounts Payable | 85.2 | 83.7 | 86.7 | 91.8 | 97.3 | 103.3 |</w:t>
      </w:r>
    </w:p>
    <w:p>
      <w:r>
        <w:t>| Revolver | 100.0 | 108.2 | 117.9 | 129.3 | 142.6 | 158.1 |</w:t>
      </w:r>
    </w:p>
    <w:p>
      <w:r>
        <w:t>| Long-Term Debt | 150.0 | 139.6 | 129.4 | 119.3 | 109.3 | 99.3 |</w:t>
      </w:r>
    </w:p>
    <w:p>
      <w:r>
        <w:t>| Shareholder's Equity | 307.9 | 308.1 | 313.2 | 368.8 | 401.7 | 422.6 |</w:t>
      </w:r>
    </w:p>
    <w:p/>
    <w:p>
      <w:r>
        <w:t>## Free Cash Flow Projection (€ million)</w:t>
      </w:r>
    </w:p>
    <w:p/>
    <w:p>
      <w:r>
        <w:t>| Item | 2023E | 2024E | 2025E | 2026E | 2027E |</w:t>
      </w:r>
    </w:p>
    <w:p>
      <w:r>
        <w:t>|------|-------|-------|-------|-------|-------|</w:t>
      </w:r>
    </w:p>
    <w:p>
      <w:r>
        <w:t>| NOPAT | 126.9 | 167.3 | 209.9 | 254.5 | 301.6 |</w:t>
      </w:r>
    </w:p>
    <w:p>
      <w:r>
        <w:t>| D&amp;A | 49.9 | 52.4 | 54.9 | 57.6 | 60.5 |</w:t>
      </w:r>
    </w:p>
    <w:p>
      <w:r>
        <w:t>| Δ NWC | (5.4) | (7.3) | (7.9) | (8.4) | (8.9) |</w:t>
      </w:r>
    </w:p>
    <w:p>
      <w:r>
        <w:t>| CapEx | (44.9) | (52.3) | (56.6) | (59.5) | (61.1) |</w:t>
      </w:r>
    </w:p>
    <w:p>
      <w:r>
        <w:t>| FCFF | 126.5 | 160.1 | 194.3 | 231.3 | 288.1 |</w:t>
      </w:r>
    </w:p>
    <w:p/>
    <w:p>
      <w:r>
        <w:t>## Valuation Analysis</w:t>
      </w:r>
    </w:p>
    <w:p/>
    <w:p>
      <w:r>
        <w:t>### Discounted Cash Flow Model</w:t>
      </w:r>
    </w:p>
    <w:p>
      <w:r>
        <w:t>| Year | FCFF (€M) | Discount Factor | PV of FCFF (€M) |</w:t>
      </w:r>
    </w:p>
    <w:p>
      <w:r>
        <w:t>|------|----------|----------------|----------------|</w:t>
      </w:r>
    </w:p>
    <w:p>
      <w:r>
        <w:t>| 2023E | 126.5 | 0.926 | 117.1 |</w:t>
      </w:r>
    </w:p>
    <w:p>
      <w:r>
        <w:t>| 2024E | 160.1 | 0.857 | 137.2 |</w:t>
      </w:r>
    </w:p>
    <w:p>
      <w:r>
        <w:t>| 2025E | 194.3 | 0.794 | 154.3 |</w:t>
      </w:r>
    </w:p>
    <w:p>
      <w:r>
        <w:t>| 2026E | 231.3 | 0.735 | 170.1 |</w:t>
      </w:r>
    </w:p>
    <w:p>
      <w:r>
        <w:t>| 2027E | 288.1 | 0.681 | 196.3 |</w:t>
      </w:r>
    </w:p>
    <w:p>
      <w:r>
        <w:t>|**Total PV of Projected FCFF** | | | **775.0** |</w:t>
      </w:r>
    </w:p>
    <w:p/>
    <w:p>
      <w:r>
        <w:t>### Terminal Value Calculation</w:t>
      </w:r>
    </w:p>
    <w:p>
      <w:r>
        <w:t>Using the Gordon Growth Model:</w:t>
      </w:r>
    </w:p>
    <w:p>
      <w:r>
        <w:t>TV = FCFF&lt;sub&gt;2027E&lt;/sub&gt; × (1 + g) / (WACC - g)</w:t>
      </w:r>
    </w:p>
    <w:p/>
    <w:p>
      <w:r>
        <w:t>TV = €288.1M × (1 + 0.025) / (0.080 - 0.025) = **€5,355.4 million**</w:t>
      </w:r>
    </w:p>
    <w:p/>
    <w:p>
      <w:r>
        <w:t>Present Value of Terminal Value = €5,355.4M × 0.681 = **€3,648.5 million**</w:t>
      </w:r>
    </w:p>
    <w:p/>
    <w:p>
      <w:r>
        <w:t>## Valuation Summary</w:t>
      </w:r>
    </w:p>
    <w:p/>
    <w:p>
      <w:r>
        <w:t>| Component | Value (€M) |</w:t>
      </w:r>
    </w:p>
    <w:p>
      <w:r>
        <w:t>|-----------|-----------|</w:t>
      </w:r>
    </w:p>
    <w:p>
      <w:r>
        <w:t>| PV of Projected FCFF (2023-2027) | 775.0 |</w:t>
      </w:r>
    </w:p>
    <w:p>
      <w:r>
        <w:t>| PV of Terminal Value | 3,648.5 |</w:t>
      </w:r>
    </w:p>
    <w:p>
      <w:r>
        <w:t>| **Enterprise Value** | **4,423.5** |</w:t>
      </w:r>
    </w:p>
    <w:p>
      <w:r>
        <w:t>| Net Debt (LT Debt + Revolver - Cash) | 275.0 |</w:t>
      </w:r>
    </w:p>
    <w:p>
      <w:r>
        <w:t>| **Equity Value** | **4,148.5** |</w:t>
      </w:r>
    </w:p>
    <w:p>
      <w:r>
        <w:t>| EBITDA Multiple (2022A) | 4.7x |</w:t>
      </w:r>
    </w:p>
    <w:p/>
    <w:p>
      <w:r>
        <w:t>## Sensitivity Analysis</w:t>
      </w:r>
    </w:p>
    <w:p/>
    <w:p>
      <w:r>
        <w:t>Enterprise Value sensitivity to WACC and Terminal Growth Rate assumptions (€ million):</w:t>
      </w:r>
    </w:p>
    <w:p/>
    <w:p>
      <w:r>
        <w:t>| Terminal Growth Rate | WACC 5.5% | WACC 6.0% | WACC 6.5% | WACC 7.0% | WACC 7.5% | WACC 8.0% | WACC 8.5% |</w:t>
      </w:r>
    </w:p>
    <w:p>
      <w:r>
        <w:t>|----------------------|----------|----------|----------|----------|----------|----------|----------|</w:t>
      </w:r>
    </w:p>
    <w:p>
      <w:r>
        <w:t>| 1.0% | 6,293 | 5,767 | 5,307 | 4,902 | 4,543 | 4,225 | 3,942 |</w:t>
      </w:r>
    </w:p>
    <w:p>
      <w:r>
        <w:t>| 1.5% | 5,694 | 5,268 | 4,897 | 4,572 | 4,285 | 4,029 | 3,799 |</w:t>
      </w:r>
    </w:p>
    <w:p>
      <w:r>
        <w:t>| 2.0% | 5,242 | 4,870 | 4,543 | 4,253 | 3,994 | 3,760 | 3,548 |</w:t>
      </w:r>
    </w:p>
    <w:p>
      <w:r>
        <w:t>| 2.5% | 4,895 | 4,555 | 4,252 | 3,982 | 3,740 | 4,423.5 | 3,327 |</w:t>
      </w:r>
    </w:p>
    <w:p>
      <w:r>
        <w:t>| 3.0% | 4,625 | 4,300 | 4,007 | 3,743 | 3,504 | 3,287 | - |</w:t>
      </w:r>
    </w:p>
    <w:p/>
    <w:p>
      <w:r>
        <w:t>## Key Observations</w:t>
      </w:r>
    </w:p>
    <w:p/>
    <w:p>
      <w:r>
        <w:t>1. **Improving Profitability**: Gross margin increases significantly from 31.6% to 45.9% due to progressive COGS reduction, indicating strong operational efficiency improvements.</w:t>
      </w:r>
    </w:p>
    <w:p/>
    <w:p>
      <w:r>
        <w:t>2. **Cash Flow Growth**: Free cash flow increases from €126.5 million in 2023 to €288.1 million by 2027, representing a compound annual growth rate of 17.9%.</w:t>
      </w:r>
    </w:p>
    <w:p/>
    <w:p>
      <w:r>
        <w:t>3. **Working Capital Management**: Declining inventory days (48 to 41) and debtor days (55 to 50) contribute positively to cash flow generation.</w:t>
      </w:r>
    </w:p>
    <w:p/>
    <w:p>
      <w:r>
        <w:t>4. **Capital Intensity**: Capital expenditure requirements increase as a percentage of revenue (4.5% to 4.9%), partially offsetting growing EBIT.</w:t>
      </w:r>
    </w:p>
    <w:p/>
    <w:p>
      <w:r>
        <w:t>5. **Debt Reduction Strategy**: The company follows a mandated €115 million annual debt repayment schedule, reducing long-term debt from €150 million to €99.3 million.</w:t>
      </w:r>
    </w:p>
    <w:p/>
    <w:p>
      <w:r>
        <w:t>## Risk Considerations and Recommendations</w:t>
      </w:r>
    </w:p>
    <w:p/>
    <w:p>
      <w:r>
        <w:t>1. **Cash Flow Management**: The model projects negative cash balances by 2025, which may indicate an increased reliance on the revolver facility and potential liquidity constraints.</w:t>
      </w:r>
    </w:p>
    <w:p/>
    <w:p>
      <w:r>
        <w:t>2. **COGS Assumptions**: The progressive COGS reduction assumption of 0.15% annually should be validated against industry benchmarks and operational feasibility.</w:t>
      </w:r>
    </w:p>
    <w:p/>
    <w:p>
      <w:r>
        <w:t>3. **CapEx Strategy**: Evaluate whether the increasing CapEx percentage aligns with capital efficiency and long-term growth stability.</w:t>
      </w:r>
    </w:p>
    <w:p/>
    <w:p>
      <w:r>
        <w:t>4. **Debt Structure Monitoring**: Revolver utilization increases to €158.1 million by 2027, representing a significant portion of the company's financing structure.</w:t>
      </w:r>
    </w:p>
    <w:p/>
    <w:p>
      <w:r>
        <w:t>5. **Terminal Value Sensitivity**: Note that 82% of the enterprise value is attributed to terminal value, making the valuation highly sensitive to WACC and growth rate assumptions.</w:t>
      </w:r>
    </w:p>
    <w:p/>
    <w:p>
      <w:r>
        <w:t xml:space="preserve">This comprehensive analysis values ValCo's equity at approximately **€4,148.5 million**, representing a fair market valuation based on prospective cash flow generation and current financial structure. </w:t>
      </w:r>
    </w:p>
    <w:p/>
    <w:p>
      <w:r>
        <w:t>---</w:t>
      </w:r>
    </w:p>
    <w:p>
      <w:r>
        <w:t>*© RKS CashFlowsLab UG (haftungsbeschränkt), 2023. All rights reserved. This document and its contents are protected by copyright law and the intellectual property rights of the author.*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