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line="480"/>
        <w:jc w:val="center"/>
      </w:pPr>
      <w:r>
        <w:rPr>
          <w:rFonts w:ascii="Times New Roman" w:cs="Times New Roman" w:eastAsia="Times New Roman" w:hAnsi="Times New Roman"/>
          <w:b/>
          <w:bCs/>
          <w:sz w:val="28"/>
          <w:szCs w:val="28"/>
        </w:rPr>
        <w:t xml:space="preserve">IN THE SUPERIOR COURT OF GWINNETT COUNTY STATE OF GEORGIA</w:t>
      </w:r>
    </w:p>
    <w:tbl>
      <w:tblPr>
        <w:tblW w:type="dxa" w:w="9360"/>
        <w:tblBorders>
          <w:top w:val="none" w:sz="0"/>
          <w:left w:val="none" w:sz="0"/>
          <w:bottom w:val="none" w:sz="0"/>
          <w:right w:val="none" w:sz="0"/>
          <w:insideH w:val="none" w:sz="0"/>
          <w:insideV w:val="none" w:sz="0"/>
        </w:tblBorders>
      </w:tblPr>
      <w:tblGrid>
        <w:gridCol w:w="4680"/>
        <w:gridCol w:w="4680"/>
      </w:tblGrid>
      <w:tr>
        <w:tc>
          <w:tcPr>
            <w:tcW w:type="dxa" w:w="4680"/>
            <w:tcBorders>
              <w:top w:val="none" w:sz="0"/>
              <w:left w:val="none" w:sz="0"/>
              <w:bottom w:val="none" w:sz="0"/>
              <w:right w:val="single" w:color="000000" w:sz="6"/>
            </w:tcBorders>
          </w:tcPr>
          <w:p>
            <w:pPr>
              <w:spacing w:after="0" w:before="0" w:line="480"/>
            </w:pPr>
            <w:r>
              <w:rPr>
                <w:rFonts w:ascii="Times New Roman" w:cs="Times New Roman" w:eastAsia="Times New Roman" w:hAnsi="Times New Roman"/>
                <w:sz w:val="28"/>
                <w:szCs w:val="28"/>
              </w:rPr>
              <w:t xml:space="preserve">Ian Bruce,</w:t>
            </w:r>
            <w:r>
              <w:rPr>
                <w:rFonts w:ascii="Times New Roman" w:cs="Times New Roman" w:eastAsia="Times New Roman" w:hAnsi="Times New Roman"/>
                <w:sz w:val="28"/>
                <w:szCs w:val="28"/>
              </w:rPr>
              <w:br/>
              <w:br/>
              <w:t xml:space="preserve">Plaintiff,</w:t>
            </w:r>
            <w:r>
              <w:rPr>
                <w:rFonts w:ascii="Times New Roman" w:cs="Times New Roman" w:eastAsia="Times New Roman" w:hAnsi="Times New Roman"/>
                <w:sz w:val="28"/>
                <w:szCs w:val="28"/>
              </w:rPr>
              <w:br/>
              <w:br/>
              <w:t xml:space="preserve">v.</w:t>
            </w:r>
            <w:r>
              <w:rPr>
                <w:rFonts w:ascii="Times New Roman" w:cs="Times New Roman" w:eastAsia="Times New Roman" w:hAnsi="Times New Roman"/>
                <w:sz w:val="28"/>
                <w:szCs w:val="28"/>
              </w:rPr>
              <w:br/>
              <w:br/>
              <w:t xml:space="preserve">Snatchmasters, LLC,</w:t>
            </w:r>
            <w:r>
              <w:rPr>
                <w:rFonts w:ascii="Times New Roman" w:cs="Times New Roman" w:eastAsia="Times New Roman" w:hAnsi="Times New Roman"/>
                <w:sz w:val="28"/>
                <w:szCs w:val="28"/>
              </w:rPr>
              <w:br/>
              <w:br/>
              <w:t xml:space="preserve">Defendant.</w:t>
            </w:r>
          </w:p>
        </w:tc>
        <w:tc>
          <w:tcPr>
            <w:tcW w:type="dxa" w:w="4680"/>
            <w:tcBorders>
              <w:top w:val="none" w:sz="0"/>
              <w:left w:val="single" w:color="000000" w:sz="6"/>
              <w:bottom w:val="none" w:sz="0"/>
              <w:right w:val="none" w:sz="0"/>
            </w:tcBorders>
          </w:tcPr>
          <w:p>
            <w:pPr>
              <w:spacing w:after="0" w:before="0" w:line="480"/>
              <w:jc w:val="center"/>
            </w:pPr>
            <w:r>
              <w:rPr>
                <w:rFonts w:ascii="Times New Roman" w:cs="Times New Roman" w:eastAsia="Times New Roman" w:hAnsi="Times New Roman"/>
                <w:sz w:val="28"/>
                <w:szCs w:val="28"/>
              </w:rPr>
              <w:br/>
              <w:br/>
              <w:br/>
              <w:br/>
              <w:t xml:space="preserve">Civil Action File No.</w:t>
            </w:r>
            <w:r>
              <w:rPr>
                <w:rFonts w:ascii="Times New Roman" w:cs="Times New Roman" w:eastAsia="Times New Roman" w:hAnsi="Times New Roman"/>
                <w:sz w:val="28"/>
                <w:szCs w:val="28"/>
              </w:rPr>
              <w:br/>
              <w:t xml:space="preserve">Civil Action File No. 24-A-09290-6</w:t>
            </w:r>
          </w:p>
        </w:tc>
      </w:tr>
    </w:tbl>
    <w:p>
      <w:pPr>
        <w:spacing w:after="320" w:before="320" w:line="480"/>
        <w:jc w:val="center"/>
      </w:pPr>
      <w:r>
        <w:rPr>
          <w:rFonts w:ascii="Times New Roman" w:cs="Times New Roman" w:eastAsia="Times New Roman" w:hAnsi="Times New Roman"/>
          <w:b/>
          <w:bCs/>
          <w:sz w:val="28"/>
          <w:szCs w:val="28"/>
          <w:u w:val="single"/>
        </w:rPr>
        <w:t xml:space="preserve">Stipulation of Dismissal with Prejudice as to Count II (Conversion)</w:t>
      </w:r>
    </w:p>
    <w:p>
      <w:pPr>
        <w:spacing w:after="0" w:before="0" w:line="480"/>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COMES NOW Plaintiff Ian Bruce, proceeding pro se, and Defendant Snatchmasters, LLC, by and through its counsel of record, and hereby stipulate and agree as follows:</w:t>
      </w:r>
    </w:p>
    <w:p>
      <w:pPr>
        <w:spacing w:after="0" w:before="0" w:line="480"/>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Plaintiff's Count II (Conversion) arises from Defendant's retention of Plaintiff's firearm following the repossession of Plaintiff's vehicle. The parties have resolved this claim as set forth below.</w:t>
      </w:r>
    </w:p>
    <w:p>
      <w:pPr>
        <w:spacing w:after="0" w:before="0" w:line="480"/>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Defendant shall pay Plaintiff the sum of $800.00 as reimbursement for the value of the firearm, accessories and time lost. This Stipulation shall not be filed with the Court, and the dismissal of Count II shall not become effective, until such payment has been made to and received by Plaintiff. Upon receipt of payment, Plaintiff shall execute this Stipulation, and counsel for Defendant shall promptly file it with the Court.</w:t>
      </w:r>
    </w:p>
    <w:p>
      <w:pPr>
        <w:spacing w:after="0" w:before="0" w:line="480"/>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Upon filing, and pursuant to O.C.G.A. § 9-11-41(a), Count II (Conversion) of the Amended Complaint is dismissed with prejudice, each party to bear its own costs and attorneys' fees as to this count.</w:t>
      </w:r>
    </w:p>
    <w:p>
      <w:pPr>
        <w:spacing w:after="0" w:before="0" w:line="480"/>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This dismissal is limited to Count II only. Counts I (Wrongful Repossession), III (Breach of Duty / Duty of Good Faith and Fair Dealing), and IV (Unfair and Deceptive Practices under O.C.G.A. § 10-1-390 et seq.) remain pending and are unaffected by this Stipulation.</w:t>
      </w:r>
    </w:p>
    <w:p>
      <w:pPr>
        <w:spacing w:after="0" w:before="0" w:line="480"/>
        <w:jc w:val="both"/>
      </w:pPr>
      <w:r>
        <w:rPr>
          <w:rFonts w:ascii="Times New Roman" w:cs="Times New Roman" w:eastAsia="Times New Roman" w:hAnsi="Times New Roman"/>
          <w:sz w:val="28"/>
          <w:szCs w:val="28"/>
        </w:rPr>
        <w:t xml:space="preserve">Respectfully submitted, this ______ day of __________________, 2026.</w:t>
      </w:r>
    </w:p>
    <w:p>
      <w:pPr>
        <w:spacing w:after="0" w:before="480" w:line="480"/>
      </w:pPr>
      <w:r>
        <w:rPr>
          <w:rFonts w:ascii="Times New Roman" w:cs="Times New Roman" w:eastAsia="Times New Roman" w:hAnsi="Times New Roman"/>
          <w:sz w:val="28"/>
          <w:szCs w:val="28"/>
        </w:rPr>
        <w:t xml:space="preserve">________________________________________</w:t>
      </w:r>
      <w:r>
        <w:rPr>
          <w:rFonts w:ascii="Times New Roman" w:cs="Times New Roman" w:eastAsia="Times New Roman" w:hAnsi="Times New Roman"/>
          <w:b/>
          <w:bCs/>
          <w:sz w:val="28"/>
          <w:szCs w:val="28"/>
        </w:rPr>
        <w:br/>
        <w:t xml:space="preserve">Ian Bruce, Plaintiff Pro Se
267 Langley Dr #1267
Lawrenceville, GA 30046
ianbruce.me@gmail.com</w:t>
      </w:r>
    </w:p>
    <w:p>
      <w:pPr>
        <w:spacing w:after="0" w:before="480" w:line="480"/>
      </w:pPr>
      <w:r>
        <w:rPr>
          <w:rFonts w:ascii="Times New Roman" w:cs="Times New Roman" w:eastAsia="Times New Roman" w:hAnsi="Times New Roman"/>
          <w:sz w:val="28"/>
          <w:szCs w:val="28"/>
        </w:rPr>
        <w:t xml:space="preserve">________________________________________</w:t>
      </w:r>
      <w:r>
        <w:rPr>
          <w:rFonts w:ascii="Times New Roman" w:cs="Times New Roman" w:eastAsia="Times New Roman" w:hAnsi="Times New Roman"/>
          <w:b/>
          <w:bCs/>
          <w:sz w:val="28"/>
          <w:szCs w:val="28"/>
        </w:rPr>
        <w:br/>
        <w:t xml:space="preserve">Danielle E. Douglas
Georgia Bar No. _____________
Counsel for Defendant Snatchmasters, LLC
Adams &amp; Reese, LLP
1901 6th Avenue North, Suite 1110
Birmingham, AL 35203
Tel: 205.250.5024
Danielle.Douglas@arlaw.com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2026-05-13T11:46:43.860Z</dcterms:created>
  <dcterms:modified xsi:type="dcterms:W3CDTF">2026-05-13T11:46:43.860Z</dcterms:modified>
</cp:coreProperties>
</file>

<file path=docProps/custom.xml><?xml version="1.0" encoding="utf-8"?>
<Properties xmlns="http://schemas.openxmlformats.org/officeDocument/2006/custom-properties" xmlns:vt="http://schemas.openxmlformats.org/officeDocument/2006/docPropsVTypes"/>
</file>