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i w:val="0"/>
          <w:sz w:val="36"/>
        </w:rPr>
        <w:t>Ian Cowpar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Senior PM  |  0→1 self-serve flows in compliance domains  |  AI-as-co-builder  |  ships working prototypes, not specs</w:t>
      </w:r>
    </w:p>
    <w:p>
      <w:pPr>
        <w:spacing w:before="0" w:after="80"/>
      </w:pPr>
      <w:r>
        <w:rPr>
          <w:rFonts w:ascii="Calibri" w:hAnsi="Calibri"/>
          <w:b w:val="0"/>
          <w:i w:val="0"/>
        </w:rPr>
        <w:t>ian.cowpar@gmail.com  |  351-235-0365  |  linkedin.com/in/ian-cowpar  |  theunofficialleader.substack.com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SUMMARY</w:t>
      </w:r>
    </w:p>
    <w:p>
      <w:pPr>
        <w:spacing w:before="0" w:after="80"/>
      </w:pPr>
      <w:r>
        <w:rPr>
          <w:rFonts w:ascii="Calibri" w:hAnsi="Calibri"/>
          <w:b w:val="0"/>
          <w:i w:val="0"/>
        </w:rPr>
        <w:t>Senior PM with a track record of building 0→1 self-serve products inside compliance-heavy enterprise environments. I take ideas from discovery through working prototype through engineering handoff — and I write the working prototype myself in Claude Code rather than handing engineering a spec and waiting. Two years at UKG (Senior PM, $250M ARR) building self-serve flows that absorbed enterprise complexity behind the scenes; ten years before that at Broadridge running compliance-grade financial services deployments. The discipline transfers cleanly to SMB: the harder version of the problem is enterprise complexity, and the design instinct I built there scales down faster than the typical SMB PM scales up.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EXPERIENCE</w:t>
      </w:r>
    </w:p>
    <w:p>
      <w:pPr>
        <w:spacing w:before="40" w:after="0"/>
      </w:pPr>
      <w:r>
        <w:rPr>
          <w:rFonts w:ascii="Calibri" w:hAnsi="Calibri"/>
          <w:b/>
          <w:i w:val="0"/>
        </w:rPr>
        <w:t>Senior Product Manager</w:t>
      </w:r>
      <w:r>
        <w:rPr>
          <w:rFonts w:ascii="Calibri" w:hAnsi="Calibri"/>
          <w:b w:val="0"/>
          <w:i w:val="0"/>
        </w:rPr>
        <w:t xml:space="preserve">    Jun 2024 – Apr 2026</w:t>
      </w:r>
    </w:p>
    <w:p>
      <w:pPr>
        <w:spacing w:before="0" w:after="60"/>
      </w:pPr>
      <w:r>
        <w:rPr>
          <w:rFonts w:ascii="Calibri" w:hAnsi="Calibri"/>
          <w:b w:val="0"/>
          <w:i/>
        </w:rPr>
        <w:t>UKG  |  Lowell, MA  |  $250M ARR  |  0→1 self-serve products, AI-fluent prototyping, compliance-heavy enterprise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Built a 0→1 self-serve migration product, idea to production. </w:t>
      </w:r>
      <w:r>
        <w:rPr>
          <w:rFonts w:ascii="Calibri" w:hAnsi="Calibri"/>
          <w:b w:val="0"/>
          <w:i w:val="0"/>
        </w:rPr>
        <w:t>Took it from concept through three business-epic decomposition (UI, rules, deployment), built the working prototype myself in Claude Code, designed the UX feedback loop and persona, and handed engineering a complete package — bepics, epics, stories, Gantt, roadmap. Now in active production; the Services org runs migrations independently without an engineering ticket. Closes the gap between licensing the platform and actually using it.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Built UKG product's first organized AI capability layer. </w:t>
      </w:r>
      <w:r>
        <w:rPr>
          <w:rFonts w:ascii="Calibri" w:hAnsi="Calibri"/>
          <w:b w:val="0"/>
          <w:i w:val="0"/>
        </w:rPr>
        <w:t>Started as personal tooling, scaled into team-wide shared capability without a top-down mandate. Adoption spread because the thing worked better than what it replaced — the only kind of adoption that lasts. Receipt for AI-as-co-builder posture, not a claim.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Designed a five-panel operational analytics product </w:t>
      </w:r>
      <w:r>
        <w:rPr>
          <w:rFonts w:ascii="Calibri" w:hAnsi="Calibri"/>
          <w:b w:val="0"/>
          <w:i w:val="0"/>
        </w:rPr>
        <w:t>classifying open issues across customer escalations, code defects, internal bugs, and CVEs across four products; auto-refreshed daily, surfacing a single highest-leverage action per view. Opinionated routing, not a dashboard.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Designed sprint health instrumentation </w:t>
      </w:r>
      <w:r>
        <w:rPr>
          <w:rFonts w:ascii="Calibri" w:hAnsi="Calibri"/>
          <w:b w:val="0"/>
          <w:i w:val="0"/>
        </w:rPr>
        <w:t>refreshing every 15 minutes across two engineering teams, with documented rejection criteria for burndown, velocity, and story-point anti-patterns. Opinionated tooling with a thesis baked into what it measured.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Served as the product-side voice on enterprise customer escalation and pre-upgrade calls </w:t>
      </w:r>
      <w:r>
        <w:rPr>
          <w:rFonts w:ascii="Calibri" w:hAnsi="Calibri"/>
          <w:b w:val="0"/>
          <w:i w:val="0"/>
        </w:rPr>
        <w:t>— synthesizing what customers actually needed versus what was on the roadmap. Discovery muscle in its hardest configuration.</w:t>
      </w:r>
    </w:p>
    <w:p>
      <w:pPr>
        <w:spacing w:before="80" w:after="0"/>
      </w:pPr>
      <w:r>
        <w:rPr>
          <w:rFonts w:ascii="Calibri" w:hAnsi="Calibri"/>
          <w:b/>
          <w:i w:val="0"/>
        </w:rPr>
        <w:t>Business Analyst</w:t>
      </w:r>
      <w:r>
        <w:rPr>
          <w:rFonts w:ascii="Calibri" w:hAnsi="Calibri"/>
          <w:b w:val="0"/>
          <w:i w:val="0"/>
        </w:rPr>
        <w:t xml:space="preserve">    Jan 2014 – Jun 2024</w:t>
      </w:r>
    </w:p>
    <w:p>
      <w:pPr>
        <w:spacing w:before="0" w:after="60"/>
      </w:pPr>
      <w:r>
        <w:rPr>
          <w:rFonts w:ascii="Calibri" w:hAnsi="Calibri"/>
          <w:b w:val="0"/>
          <w:i/>
        </w:rPr>
        <w:t>Broadridge Financial Solutions  |  Andover, MA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 w:val="0"/>
          <w:i w:val="0"/>
        </w:rPr>
        <w:t>Led 40+ enterprise client deployments end-to-end in a compliance-grade financial services environment; developed strong instincts for regulatory consequence, requirements quality, and the difference between a delivery that closes and a product that keeps producing.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 w:val="0"/>
          <w:i w:val="0"/>
        </w:rPr>
        <w:t>Internal SME for an omni-channel communication product adopted across the full client base; translated complex compliance capabilities into workflows non-technical buyers could operate without support.</w:t>
      </w:r>
    </w:p>
    <w:p>
      <w:pPr>
        <w:spacing w:before="80" w:after="0"/>
      </w:pPr>
      <w:r>
        <w:rPr>
          <w:rFonts w:ascii="Calibri" w:hAnsi="Calibri"/>
          <w:b/>
          <w:i w:val="0"/>
        </w:rPr>
        <w:t>Sr. Document Development Analyst</w:t>
      </w:r>
      <w:r>
        <w:rPr>
          <w:rFonts w:ascii="Calibri" w:hAnsi="Calibri"/>
          <w:b w:val="0"/>
          <w:i w:val="0"/>
        </w:rPr>
        <w:t xml:space="preserve">    Jan 2006 – Jan 2014</w:t>
      </w:r>
    </w:p>
    <w:p>
      <w:pPr>
        <w:spacing w:before="0" w:after="60"/>
      </w:pPr>
      <w:r>
        <w:rPr>
          <w:rFonts w:ascii="Calibri" w:hAnsi="Calibri"/>
          <w:b w:val="0"/>
          <w:i/>
        </w:rPr>
        <w:t>Broadridge Financial Solutions  |  Andover, MA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SKILLS AND FOCUS AREAS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Product:  </w:t>
      </w:r>
      <w:r>
        <w:rPr>
          <w:rFonts w:ascii="Calibri" w:hAnsi="Calibri"/>
          <w:b w:val="0"/>
          <w:i w:val="0"/>
        </w:rPr>
        <w:t>0→1 product building, self-serve flow design, customer discovery, persona and UX feedback loops, MVP definition, end-to-end delivery from prototype to production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AI as Co-Builder:  </w:t>
      </w:r>
      <w:r>
        <w:rPr>
          <w:rFonts w:ascii="Calibri" w:hAnsi="Calibri"/>
          <w:b w:val="0"/>
          <w:i w:val="0"/>
        </w:rPr>
        <w:t>Claude Code prototyping, agentic workflows, AI-fluent product development, PM automation, zero-translation building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Compliance &amp; Enterprise:  </w:t>
      </w:r>
      <w:r>
        <w:rPr>
          <w:rFonts w:ascii="Calibri" w:hAnsi="Calibri"/>
          <w:b w:val="0"/>
          <w:i w:val="0"/>
        </w:rPr>
        <w:t>Regulatory-consequence delivery, compliance-grade financial services, multi-stakeholder coordination, executive customer engagement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Data:  </w:t>
      </w:r>
      <w:r>
        <w:rPr>
          <w:rFonts w:ascii="Calibri" w:hAnsi="Calibri"/>
          <w:b w:val="0"/>
          <w:i w:val="0"/>
        </w:rPr>
        <w:t>Operational analytics products, opinionated instrumentation, KPI definition, qualitative-to-structured synthesis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Tooling:  </w:t>
      </w:r>
      <w:r>
        <w:rPr>
          <w:rFonts w:ascii="Calibri" w:hAnsi="Calibri"/>
          <w:b w:val="0"/>
          <w:i w:val="0"/>
        </w:rPr>
        <w:t>Jira, Confluence, GitHub, SQL, Slack MCP, Claude Code CLI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EDUCATION</w:t>
      </w:r>
    </w:p>
    <w:p>
      <w:pPr>
        <w:spacing w:before="0" w:after="0"/>
      </w:pPr>
      <w:r>
        <w:rPr>
          <w:rFonts w:ascii="Calibri" w:hAnsi="Calibri"/>
          <w:b/>
          <w:i w:val="0"/>
        </w:rPr>
        <w:t>Bachelor of Science, Management Information Systems and Management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Manning School of Business, UMass Lowell  |  1999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WRITING AND THOUGHT LEADERSHIP</w:t>
      </w:r>
    </w:p>
    <w:p>
      <w:pPr>
        <w:spacing w:before="0" w:after="0"/>
      </w:pPr>
      <w:r>
        <w:rPr>
          <w:rFonts w:ascii="Calibri" w:hAnsi="Calibri"/>
          <w:b/>
          <w:i w:val="0"/>
        </w:rPr>
        <w:t>The Unofficial Leader</w:t>
      </w:r>
      <w:r>
        <w:rPr>
          <w:rFonts w:ascii="Calibri" w:hAnsi="Calibri"/>
          <w:b w:val="0"/>
          <w:i w:val="0"/>
        </w:rPr>
        <w:t xml:space="preserve">  (Substack)  |  theunofficialleader.substack.com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Weekly publication on AI adoption, unofficial leadership, and team dynamics. Originator of the Zero-Translation Building framework. Active LinkedIn audience engagement.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