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AI-fluent prototyping  |  data products with opinion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PM building AI platforms, data products, and self-serve flows inside compliance-heavy enterprise environments. Two years at UKG protecting 300 enterprise customers ($250M ARR) through migration off legacy workforce management — scaled UKG product's first organized AI capability layer across the team without a top-down mandate, built the data products that let services and engineering catch problems before customers felt them, and shipped a 0→1 migration tool with the prototype I wrote myself in Claude Code. Ten years prior at Broadridge: 40+ enterprise deployments in compliance-grade financial services.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Data products, AI tooling, and self-serve flows protecting enterprise customers through migration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tool,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and CVEs across four products; auto-refreshed daily, surfacing a single highest-leverage action per view.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 — each with technical rationale. Built for signal, not ceremony.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ARR-focused risk tracking for the UTA upgrade program: </w:t>
      </w:r>
      <w:r>
        <w:rPr>
          <w:rFonts w:ascii="Calibri" w:hAnsi="Calibri"/>
          <w:b w:val="0"/>
          <w:i w:val="0"/>
        </w:rPr>
        <w:t>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engagement, escalation room presence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0→1 product building, data products, self-serve flow design, MVP definition, end-to-end delivery from prototype to production, customer discovery, persona and UX feedback loops,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