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Former UKG Senior PM  |  platform ecosystem thinking  |  enterprise customer-facing  |  cross-functional execution</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Former Senior PM at UKG (June 2024 – April 2026) with a track record of operating at the seams — between platforms, between functions, and between customers and the roadmap. I spent the last two years doing alliances-shaped work without the title: serving as the product-side voice in enterprise escalation and pre-upgrade rooms, coordinating Product / Services / Engineering through the rebuild of a cross-platform migration tool now in production, and building orchestration systems that turn portfolio chaos into a single highest-leverage action per view. The skill set transfers cleanly: deep UKG product knowledge, exec-room composure, and a bias toward removing friction at the boundary between two systems that are supposed to work together.</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  Platform delivery, enterprise customer trust, and cross-functional execution</w:t>
      </w:r>
    </w:p>
    <w:p>
      <w:pPr>
        <w:pStyle w:val="ListBullet"/>
        <w:spacing w:before="0" w:after="60"/>
        <w:ind w:left="360"/>
      </w:pPr>
      <w:r>
        <w:rPr>
          <w:rFonts w:ascii="Calibri" w:hAnsi="Calibri"/>
          <w:b/>
          <w:i w:val="0"/>
        </w:rPr>
        <w:t xml:space="preserve">Enterprise customer-facing trust. </w:t>
      </w:r>
      <w:r>
        <w:rPr>
          <w:rFonts w:ascii="Calibri" w:hAnsi="Calibri"/>
          <w:b w:val="0"/>
          <w:i w:val="0"/>
        </w:rPr>
        <w:t>Served as the product-side voice on escalation and pre-upgrade calls with large enterprise customers — the rooms where teams are deciding whether to trust UKG with their next quarter. Synthesized what customers actually needed versus what was on the roadmap and fed that gap back into prioritization. The same muscle that holds a partner-exec conversation steady.</w:t>
      </w:r>
    </w:p>
    <w:p>
      <w:pPr>
        <w:pStyle w:val="ListBullet"/>
        <w:spacing w:before="0" w:after="60"/>
        <w:ind w:left="360"/>
      </w:pPr>
      <w:r>
        <w:rPr>
          <w:rFonts w:ascii="Calibri" w:hAnsi="Calibri"/>
          <w:b/>
          <w:i w:val="0"/>
        </w:rPr>
        <w:t xml:space="preserve">Cross-platform delivery, in production. </w:t>
      </w:r>
      <w:r>
        <w:rPr>
          <w:rFonts w:ascii="Calibri" w:hAnsi="Calibri"/>
          <w:b w:val="0"/>
          <w:i w:val="0"/>
        </w:rPr>
        <w:t>Led product definition and UX for a migration tool now in active production; rebuilt it as a self-service flow so the Services org runs ProTime-to-Pro WFM migrations without an engineering ticket. Removing friction between two platforms that are supposed to work together is the alliances brief in a different costume.</w:t>
      </w:r>
    </w:p>
    <w:p>
      <w:pPr>
        <w:pStyle w:val="ListBullet"/>
        <w:spacing w:before="0" w:after="60"/>
        <w:ind w:left="360"/>
      </w:pPr>
      <w:r>
        <w:rPr>
          <w:rFonts w:ascii="Calibri" w:hAnsi="Calibri"/>
          <w:b/>
          <w:i w:val="0"/>
        </w:rPr>
        <w:t xml:space="preserve">Cross-functional orchestration. </w:t>
      </w:r>
      <w:r>
        <w:rPr>
          <w:rFonts w:ascii="Calibri" w:hAnsi="Calibri"/>
          <w:b w:val="0"/>
          <w:i w:val="0"/>
        </w:rPr>
        <w:t>Designed a five-panel defect triage system classifying open issues across customer escalations, code defects, internal bugs, and CVEs; auto-refreshed daily across four products, surfacing a highest-leverage action per view. The same coordinating instinct that keeps a partner portfolio moving without losing what matters.</w:t>
      </w:r>
    </w:p>
    <w:p>
      <w:pPr>
        <w:pStyle w:val="ListBullet"/>
        <w:spacing w:before="0" w:after="60"/>
        <w:ind w:left="360"/>
      </w:pPr>
      <w:r>
        <w:rPr>
          <w:rFonts w:ascii="Calibri" w:hAnsi="Calibri"/>
          <w:b/>
          <w:i w:val="0"/>
        </w:rPr>
        <w:t xml:space="preserve">Pipeline-shaped reporting. </w:t>
      </w:r>
      <w:r>
        <w:rPr>
          <w:rFonts w:ascii="Calibri" w:hAnsi="Calibri"/>
          <w:b w:val="0"/>
          <w:i w:val="0"/>
        </w:rPr>
        <w:t>Led ARR-focused risk tracking for the UTA upgrade program: automated weekly reporting routes every open blocker to the program lead; live tracking surfaces aging issues before escalation. Built for the way GTM leaders actually want to see a portfolio.</w:t>
      </w:r>
    </w:p>
    <w:p>
      <w:pPr>
        <w:pStyle w:val="ListBullet"/>
        <w:spacing w:before="0" w:after="60"/>
        <w:ind w:left="360"/>
      </w:pPr>
      <w:r>
        <w:rPr>
          <w:rFonts w:ascii="Calibri" w:hAnsi="Calibri"/>
          <w:b/>
          <w:i w:val="0"/>
        </w:rPr>
        <w:t xml:space="preserve">AI capability across the team. </w:t>
      </w:r>
      <w:r>
        <w:rPr>
          <w:rFonts w:ascii="Calibri" w:hAnsi="Calibri"/>
          <w:b w:val="0"/>
          <w:i w:val="0"/>
        </w:rPr>
        <w:t>Built a PM automation library then scaled it into a team-wide shared capability layer — UKG product's first organized AI adoption effort. Adoption spread without a top-down mandate, which is the only kind of adoption that lasts. Bringing this fluency into partner conversations is the part of the role I'd want to push hardest.</w:t>
      </w:r>
    </w:p>
    <w:p>
      <w:pPr>
        <w:spacing w:before="0" w:after="40"/>
      </w:pPr>
      <w:r>
        <w:rPr>
          <w:rFonts w:ascii="Calibri" w:hAnsi="Calibri"/>
          <w:b w:val="0"/>
          <w:i/>
        </w:rPr>
        <w:t>Brand Champion, UKG North America Regional Lead 2026  |  Fire Up ERG (women and allies), Business Innovation workstream lead — internal community programming and cross-region partnership work, building relationships across orgs that already pay off when I need to coordinate cross-functionally.</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Led 40+ enterprise client deployments end-to-end in a compliance-grade environment; developed strong instincts for executive stakeholder management, requirements quality, and the difference between a delivery that closes and a relationship that keeps producing.</w:t>
      </w:r>
    </w:p>
    <w:p>
      <w:pPr>
        <w:pStyle w:val="ListBullet"/>
        <w:spacing w:before="0" w:after="60"/>
        <w:ind w:left="360"/>
      </w:pPr>
      <w:r>
        <w:rPr>
          <w:rFonts w:ascii="Calibri" w:hAnsi="Calibri"/>
          <w:b w:val="0"/>
          <w:i w:val="0"/>
        </w:rPr>
        <w:t>Became internal SME for an omni-channel communication product adopted across the full client base; translated complex capabilities into workflows non-technical buyers could operate without support — the exact translation skill alliance partners want from their UKG counterpart.</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Partnerships &amp; Ecosystem:  </w:t>
      </w:r>
      <w:r>
        <w:rPr>
          <w:rFonts w:ascii="Calibri" w:hAnsi="Calibri"/>
          <w:b w:val="0"/>
          <w:i w:val="0"/>
        </w:rPr>
        <w:t>Strategic partnership thinking, joint roadmap conversations, cross-platform integration, marketplace ecosystem, co-sell readiness, partner-influenced ARR</w:t>
      </w:r>
    </w:p>
    <w:p>
      <w:pPr>
        <w:spacing w:before="0" w:after="60"/>
      </w:pPr>
      <w:r>
        <w:rPr>
          <w:rFonts w:ascii="Calibri" w:hAnsi="Calibri"/>
          <w:b/>
          <w:i w:val="0"/>
        </w:rPr>
        <w:t xml:space="preserve">Enterprise &amp; GTM:  </w:t>
      </w:r>
      <w:r>
        <w:rPr>
          <w:rFonts w:ascii="Calibri" w:hAnsi="Calibri"/>
          <w:b w:val="0"/>
          <w:i w:val="0"/>
        </w:rPr>
        <w:t>Executive stakeholder management, customer escalation and pre-upgrade rooms, QBR-shaped reporting, pipeline visibility, exec-room composure</w:t>
      </w:r>
    </w:p>
    <w:p>
      <w:pPr>
        <w:spacing w:before="0" w:after="60"/>
      </w:pPr>
      <w:r>
        <w:rPr>
          <w:rFonts w:ascii="Calibri" w:hAnsi="Calibri"/>
          <w:b/>
          <w:i w:val="0"/>
        </w:rPr>
        <w:t xml:space="preserve">Product:  </w:t>
      </w:r>
      <w:r>
        <w:rPr>
          <w:rFonts w:ascii="Calibri" w:hAnsi="Calibri"/>
          <w:b w:val="0"/>
          <w:i w:val="0"/>
        </w:rPr>
        <w:t>Platform PM, B2B SaaS, end-to-end delivery, MVP definition, cross-functional orchestration, voice-of-customer synthesis</w:t>
      </w:r>
    </w:p>
    <w:p>
      <w:pPr>
        <w:spacing w:before="0" w:after="60"/>
      </w:pPr>
      <w:r>
        <w:rPr>
          <w:rFonts w:ascii="Calibri" w:hAnsi="Calibri"/>
          <w:b/>
          <w:i w:val="0"/>
        </w:rPr>
        <w:t xml:space="preserve">AI and Systems:  </w:t>
      </w:r>
      <w:r>
        <w:rPr>
          <w:rFonts w:ascii="Calibri" w:hAnsi="Calibri"/>
          <w:b w:val="0"/>
          <w:i w:val="0"/>
        </w:rPr>
        <w:t>AI-fluent prototyping, agentic workflows, Claude Code, PM automation, zero-translation building</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unofficial leadership,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