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Principal-scope Product Leader  ·  AI-first SaaS  ·  Platform &amp; Adoption  ·  Zero-to-one Builder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·  351-235-0365  ·  linkedin.com/in/ian-cowpar  ·  github.com/iancowpar  ·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·  UKG  ·  Lowell, MA  ·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Principal-scope product ownership across AI capability, zero-to-one builds, and opinionated data products serving 300 enterprise customers on a $250M ARR platform.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the AI capability platform from zero across 20 PMs </w:t>
      </w:r>
      <w:r>
        <w:rPr>
          <w:rFonts w:ascii="Calibri" w:hAnsi="Calibri"/>
          <w:b w:val="0"/>
          <w:i w:val="0"/>
        </w:rPr>
        <w:t>, scaling shared infrastructure with sustained voluntary creation; coached individual PMs into role-specific use cases until multiple were replacing manual workflows with their own custom slash commands. Behavior extinction, not addition. No top-down mandate.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Shipped a zero-to-one self-serve product concept-to-production in one week </w:t>
      </w:r>
      <w:r>
        <w:rPr>
          <w:rFonts w:ascii="Calibri" w:hAnsi="Calibri"/>
          <w:b w:val="0"/>
          <w:i w:val="0"/>
        </w:rPr>
        <w:t>, projected to deliver ~30% time reduction in a ticket-gated enterprise workflow. Wrote the prototype in Claude Code, partnered with the platform architect on scope decomposition (three business epics: UI, rules, deployment), and handed engineering a delivery-ready package they built directly against.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Surfaced ~$50M in at-risk ARR requiring intervention </w:t>
      </w:r>
      <w:r>
        <w:rPr>
          <w:rFonts w:ascii="Calibri" w:hAnsi="Calibri"/>
          <w:b w:val="0"/>
          <w:i w:val="0"/>
        </w:rPr>
        <w:t>via a composite risk model for the top accounts in the enterprise upgrade program; replaced raw ticket counts with weighted signal across exposure, case volume, true-defect rate, and Salesforce sentiment. Automated the weekly reporting cadence the program lead acted 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Cut a working defect list ~97% (from ~200 issues to 5) </w:t>
      </w:r>
      <w:r>
        <w:rPr>
          <w:rFonts w:ascii="Calibri" w:hAnsi="Calibri"/>
          <w:b w:val="0"/>
          <w:i w:val="0"/>
        </w:rPr>
        <w:t>through an opinionated analytics product with a Claude Code function embedded as a first-class feature, routing the single highest-leverage action per panel across four products and five issue types.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Drove cross-functional prioritization across product, engineering, and services in executive escalation rooms </w:t>
      </w:r>
      <w:r>
        <w:rPr>
          <w:rFonts w:ascii="Calibri" w:hAnsi="Calibri"/>
          <w:b w:val="0"/>
          <w:i w:val="0"/>
        </w:rPr>
        <w:t>for a $250M ARR platform serving 300 enterprise customers, translating real customer signal into tradeoff decisions across four product lines without direct authority.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2026. Fire Up ERG (women and allies), Business Innovation workstream lead. Designed delivery-health instrumentation across two engineering teams (15-minute refresh, documented anti-pattern criteria for burndown, velocity, story points).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·  Broadridge Financial Solutions  ·  Andover, MA  ·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Forty-plus enterprise SaaS deployments end-to-end in compliance-grade financial services, where client confidentiality and regulatory consequence shaped every delivery decision.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40+ enterprise SaaS client deployments end-to-end </w:t>
      </w:r>
      <w:r>
        <w:rPr>
          <w:rFonts w:ascii="Calibri" w:hAnsi="Calibri"/>
          <w:b w:val="0"/>
          <w:i w:val="0"/>
        </w:rPr>
        <w:t>in a regulated environment where a wrong output had regulatory consequence, not a bug ticket. Partnered with engineering on system behavior, data flows, integration dependencies, and technical tradeoffs.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internal subject-matter expert for an omni-channel communication product adopted across the entire enterprise client base </w:t>
      </w:r>
      <w:r>
        <w:rPr>
          <w:rFonts w:ascii="Calibri" w:hAnsi="Calibri"/>
          <w:b w:val="0"/>
          <w:i w:val="0"/>
        </w:rPr>
        <w:t>, translating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Senior Document Development Analyst</w:t>
      </w:r>
      <w:r>
        <w:rPr>
          <w:rFonts w:ascii="Calibri" w:hAnsi="Calibri"/>
          <w:b w:val="0"/>
          <w:i w:val="0"/>
        </w:rPr>
        <w:t xml:space="preserve">    ·  Broadridge Financial Solutions  ·  Andover, MA  ·  Jan 2006 – Jan 2014</w:t>
      </w:r>
    </w:p>
    <w:p>
      <w:pPr>
        <w:spacing w:before="80" w:after="0"/>
      </w:pPr>
      <w:r>
        <w:rPr>
          <w:rFonts w:ascii="Calibri" w:hAnsi="Calibri"/>
          <w:b/>
          <w:i w:val="0"/>
        </w:rPr>
        <w:t>Product Strategy &amp; Leadership</w:t>
      </w:r>
      <w:r>
        <w:rPr>
          <w:rFonts w:ascii="Calibri" w:hAnsi="Calibri"/>
          <w:b w:val="0"/>
          <w:i w:val="0"/>
        </w:rPr>
        <w:t xml:space="preserve">    — Principal Product Manager-scope ownership, two-to-three-year product vision, OKR-to-execution, roadmap and prioritization in ambiguous spaces, cross-functional leadership without direct authority, mentorship of junior PMs, recognized subject-matter expert, outcomes over output, Agile / Scrum, B2B SaaS</w:t>
      </w:r>
    </w:p>
    <w:p>
      <w:pPr>
        <w:spacing w:before="80" w:after="0"/>
      </w:pPr>
      <w:r>
        <w:rPr>
          <w:rFonts w:ascii="Calibri" w:hAnsi="Calibri"/>
          <w:b/>
          <w:i w:val="0"/>
        </w:rPr>
        <w:t>AI as Core Multiplier</w:t>
      </w:r>
      <w:r>
        <w:rPr>
          <w:rFonts w:ascii="Calibri" w:hAnsi="Calibri"/>
          <w:b w:val="0"/>
          <w:i w:val="0"/>
        </w:rPr>
        <w:t xml:space="preserve">    — AI capability platform building, embedded AI features inside internal products, Claude Code prototyping, twenty custom slash commands and a personal Claude Code productivity OS in active daily use, agentic workflows, responsible and customer-centric AI judgment, AI adoption measurement (extinction-over-addition, the fallback principle)</w:t>
      </w:r>
    </w:p>
    <w:p>
      <w:pPr>
        <w:spacing w:before="80" w:after="0"/>
      </w:pPr>
      <w:r>
        <w:rPr>
          <w:rFonts w:ascii="Calibri" w:hAnsi="Calibri"/>
          <w:b/>
          <w:i w:val="0"/>
        </w:rPr>
        <w:t>Technical Credibility</w:t>
      </w:r>
      <w:r>
        <w:rPr>
          <w:rFonts w:ascii="Calibri" w:hAnsi="Calibri"/>
          <w:b w:val="0"/>
          <w:i w:val="0"/>
        </w:rPr>
        <w:t xml:space="preserve">    — APIs and system architecture, data flows and integration dependencies, deployment-model and platform product thinking, technical-systems fluency with engineering, requirements engineering, SQL</w:t>
      </w:r>
    </w:p>
    <w:p>
      <w:pPr>
        <w:spacing w:before="80" w:after="0"/>
      </w:pPr>
      <w:r>
        <w:rPr>
          <w:rFonts w:ascii="Calibri" w:hAnsi="Calibri"/>
          <w:b/>
          <w:i w:val="0"/>
        </w:rPr>
        <w:t>Data &amp; Experimentation</w:t>
      </w:r>
      <w:r>
        <w:rPr>
          <w:rFonts w:ascii="Calibri" w:hAnsi="Calibri"/>
          <w:b w:val="0"/>
          <w:i w:val="0"/>
        </w:rPr>
        <w:t xml:space="preserve">    — Opinionated analytics products, composite scoring and risk modeling, success-metric and KPI definition, hypothesis-driven development, qualitative-to-structured synthesis, signal-versus-noise routing</w:t>
      </w:r>
    </w:p>
    <w:p>
      <w:pPr>
        <w:spacing w:before="80" w:after="0"/>
      </w:pPr>
      <w:r>
        <w:rPr>
          <w:rFonts w:ascii="Calibri" w:hAnsi="Calibri"/>
          <w:b/>
          <w:i w:val="0"/>
        </w:rPr>
        <w:t>Enterprise SaaS</w:t>
      </w:r>
      <w:r>
        <w:rPr>
          <w:rFonts w:ascii="Calibri" w:hAnsi="Calibri"/>
          <w:b w:val="0"/>
          <w:i w:val="0"/>
        </w:rPr>
        <w:t xml:space="preserve">    — Compliance-grade regulated delivery, client confidentiality as table stakes, enterprise customer escalation-room presence, multi-org program coordination, executive synthesis, stakeholder management</w:t>
      </w:r>
    </w:p>
    <w:p>
      <w:pPr>
        <w:spacing w:before="80" w:after="0"/>
      </w:pPr>
      <w:r>
        <w:rPr>
          <w:rFonts w:ascii="Calibri" w:hAnsi="Calibri"/>
          <w:b/>
          <w:i w:val="0"/>
        </w:rPr>
        <w:t>Tooling</w:t>
      </w:r>
      <w:r>
        <w:rPr>
          <w:rFonts w:ascii="Calibri" w:hAnsi="Calibri"/>
          <w:b w:val="0"/>
          <w:i w:val="0"/>
        </w:rPr>
        <w:t xml:space="preserve">    — Jira, Confluence, GitHub, SQL, Claude Code CLI, Slack MCP, Salesforce Service Cloud (operator)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·  1999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---</w:t>
      </w:r>
    </w:p>
    <w:p>
      <w:pPr>
        <w:spacing w:before="0" w:after="0"/>
      </w:pPr>
      <w:r>
        <w:rPr>
          <w:rFonts w:ascii="Calibri" w:hAnsi="Calibri"/>
          <w:b/>
          <w:i w:val="0"/>
        </w:rPr>
        <w:t>THOUGHT LEADERSHIP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***The Unofficial Leader*** (Substack) ·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where AI actually earns its place, adoption realism, and what's happening beneath the surface of how teams work. Originator of the Zero-Translation Building framework. Active LinkedIn audience engagement on product strategy, AI adoption, and team dynamics.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