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sz w:val="36"/>
        </w:rPr>
        <w:t>Ian Cowpar</w:t>
      </w:r>
    </w:p>
    <w:p>
      <w:pPr>
        <w:spacing w:before="0" w:after="40"/>
      </w:pPr>
      <w:r>
        <w:rPr>
          <w:rFonts w:ascii="Calibri" w:hAnsi="Calibri"/>
          <w:b w:val="0"/>
          <w:i w:val="0"/>
        </w:rPr>
        <w:t>Former UKG Senior PM  |  platform ecosystem thinking  |  enterprise customer-facing  |  cross-functional execution</w:t>
      </w:r>
    </w:p>
    <w:p>
      <w:pPr>
        <w:spacing w:before="0" w:after="80"/>
      </w:pPr>
      <w:r>
        <w:rPr>
          <w:rFonts w:ascii="Calibri" w:hAnsi="Calibri"/>
          <w:b w:val="0"/>
          <w:i w:val="0"/>
        </w:rPr>
        <w:t>ian.cowpar@gmail.com  |  351-235-0365  |  linkedin.com/in/ian-cowpar  |  theunofficialleader.substack.com</w:t>
      </w:r>
    </w:p>
    <w:p>
      <w:pPr>
        <w:spacing w:before="200" w:after="40"/>
      </w:pPr>
      <w:r>
        <w:rPr>
          <w:rFonts w:ascii="Calibri" w:hAnsi="Calibri"/>
          <w:b/>
          <w:i w:val="0"/>
          <w:sz w:val="22"/>
        </w:rPr>
        <w:t>SUMMARY</w:t>
      </w:r>
    </w:p>
    <w:p>
      <w:pPr>
        <w:spacing w:before="0" w:after="80"/>
      </w:pPr>
      <w:r>
        <w:rPr>
          <w:rFonts w:ascii="Calibri" w:hAnsi="Calibri"/>
          <w:b w:val="0"/>
          <w:i w:val="0"/>
        </w:rPr>
        <w:t>Former Senior PM at UKG (June 2024 – April 2026) with a track record of operating at the seams — between platforms, between functions, and between customers and the roadmap. I spent the last two years doing alliances-shaped work without the title: serving as the product-side voice in enterprise escalation and pre-upgrade rooms, coordinating Product / Services / Engineering through the rebuild of a cross-platform migration tool now in production, and building orchestration systems that turn portfolio chaos into a single highest-leverage action per view. The skill set transfers cleanly: deep UKG product knowledge, exec-room composure, and a bias toward removing friction at the boundary between two systems that are supposed to work together.</w:t>
      </w:r>
    </w:p>
    <w:p>
      <w:pPr>
        <w:spacing w:before="200" w:after="40"/>
      </w:pPr>
      <w:r>
        <w:rPr>
          <w:rFonts w:ascii="Calibri" w:hAnsi="Calibri"/>
          <w:b/>
          <w:i w:val="0"/>
          <w:sz w:val="22"/>
        </w:rPr>
        <w:t>EXPERIENCE</w:t>
      </w:r>
    </w:p>
    <w:p>
      <w:pPr>
        <w:spacing w:before="40" w:after="0"/>
      </w:pPr>
      <w:r>
        <w:rPr>
          <w:rFonts w:ascii="Calibri" w:hAnsi="Calibri"/>
          <w:b/>
          <w:i w:val="0"/>
        </w:rPr>
        <w:t>Senior Product Manager</w:t>
      </w:r>
      <w:r>
        <w:rPr>
          <w:rFonts w:ascii="Calibri" w:hAnsi="Calibri"/>
          <w:b w:val="0"/>
          <w:i w:val="0"/>
        </w:rPr>
        <w:t xml:space="preserve">    Jun 2024 – Apr 2026</w:t>
      </w:r>
    </w:p>
    <w:p>
      <w:pPr>
        <w:spacing w:before="0" w:after="60"/>
      </w:pPr>
      <w:r>
        <w:rPr>
          <w:rFonts w:ascii="Calibri" w:hAnsi="Calibri"/>
          <w:b w:val="0"/>
          <w:i/>
        </w:rPr>
        <w:t>UKG  |  Lowell, MA  |  $250M ARR  |  Platform delivery, enterprise customer trust, and cross-functional execution</w:t>
      </w:r>
    </w:p>
    <w:p>
      <w:pPr>
        <w:pStyle w:val="ListBullet"/>
        <w:spacing w:before="0" w:after="60"/>
        <w:ind w:left="360"/>
      </w:pPr>
      <w:r>
        <w:rPr>
          <w:rFonts w:ascii="Calibri" w:hAnsi="Calibri"/>
          <w:b/>
          <w:i w:val="0"/>
        </w:rPr>
        <w:t xml:space="preserve">Enterprise customer-facing trust. </w:t>
      </w:r>
      <w:r>
        <w:rPr>
          <w:rFonts w:ascii="Calibri" w:hAnsi="Calibri"/>
          <w:b w:val="0"/>
          <w:i w:val="0"/>
        </w:rPr>
        <w:t>Served as the product-side voice on escalation and pre-upgrade calls with large enterprise customers — the rooms where teams are deciding whether to trust UKG with their next quarter. Synthesized what customers actually needed versus what was on the roadmap and fed that gap back into prioritization. The same muscle that holds a partner-exec conversation steady.</w:t>
      </w:r>
    </w:p>
    <w:p>
      <w:pPr>
        <w:pStyle w:val="ListBullet"/>
        <w:spacing w:before="0" w:after="60"/>
        <w:ind w:left="360"/>
      </w:pPr>
      <w:r>
        <w:rPr>
          <w:rFonts w:ascii="Calibri" w:hAnsi="Calibri"/>
          <w:b/>
          <w:i w:val="0"/>
        </w:rPr>
        <w:t xml:space="preserve">Cross-platform delivery, in production. </w:t>
      </w:r>
      <w:r>
        <w:rPr>
          <w:rFonts w:ascii="Calibri" w:hAnsi="Calibri"/>
          <w:b w:val="0"/>
          <w:i w:val="0"/>
        </w:rPr>
        <w:t>Led product definition and UX for a migration tool now in active production; rebuilt it as a self-service flow so the Services org runs ProTime-to-Pro WFM migrations without an engineering ticket. Removing friction between two platforms that are supposed to work together is the alliances brief in a different costume.</w:t>
      </w:r>
    </w:p>
    <w:p>
      <w:pPr>
        <w:pStyle w:val="ListBullet"/>
        <w:spacing w:before="0" w:after="60"/>
        <w:ind w:left="360"/>
      </w:pPr>
      <w:r>
        <w:rPr>
          <w:rFonts w:ascii="Calibri" w:hAnsi="Calibri"/>
          <w:b/>
          <w:i w:val="0"/>
        </w:rPr>
        <w:t xml:space="preserve">Cross-functional orchestration. </w:t>
      </w:r>
      <w:r>
        <w:rPr>
          <w:rFonts w:ascii="Calibri" w:hAnsi="Calibri"/>
          <w:b w:val="0"/>
          <w:i w:val="0"/>
        </w:rPr>
        <w:t>Designed a five-panel defect triage system classifying open issues across customer escalations, code defects, internal bugs, CVEs, and noise; auto-refreshed daily across four products, with a Claude Code function I built into the tool surfacing the highest-leverage action per panel. The same coordinating instinct that keeps a partner portfolio moving without losing what matters.</w:t>
      </w:r>
    </w:p>
    <w:p>
      <w:pPr>
        <w:pStyle w:val="ListBullet"/>
        <w:spacing w:before="0" w:after="60"/>
        <w:ind w:left="360"/>
      </w:pPr>
      <w:r>
        <w:rPr>
          <w:rFonts w:ascii="Calibri" w:hAnsi="Calibri"/>
          <w:b/>
          <w:i w:val="0"/>
        </w:rPr>
        <w:t xml:space="preserve">Pipeline-shaped reporting. </w:t>
      </w:r>
      <w:r>
        <w:rPr>
          <w:rFonts w:ascii="Calibri" w:hAnsi="Calibri"/>
          <w:b w:val="0"/>
          <w:i w:val="0"/>
        </w:rPr>
        <w:t>Led ARR-focused risk tracking for the UTA upgrade program: automated weekly reporting routes every open blocker to the program lead; live tracking surfaces aging issues before escalation. Built for the way GTM leaders actually want to see a portfolio.</w:t>
      </w:r>
    </w:p>
    <w:p>
      <w:pPr>
        <w:pStyle w:val="ListBullet"/>
        <w:spacing w:before="0" w:after="60"/>
        <w:ind w:left="360"/>
      </w:pPr>
      <w:r>
        <w:rPr>
          <w:rFonts w:ascii="Calibri" w:hAnsi="Calibri"/>
          <w:b/>
          <w:i w:val="0"/>
        </w:rPr>
        <w:t xml:space="preserve">AI capability across the team. </w:t>
      </w:r>
      <w:r>
        <w:rPr>
          <w:rFonts w:ascii="Calibri" w:hAnsi="Calibri"/>
          <w:b w:val="0"/>
          <w:i w:val="0"/>
        </w:rPr>
        <w:t>Built a PM automation library then scaled it into a team-wide shared capability layer — UKG product's first organized AI adoption effort. Adoption spread without a top-down mandate, which is the only kind of adoption that lasts. Bringing this fluency into partner conversations is the part of the role I'd want to push hardest.</w:t>
      </w:r>
    </w:p>
    <w:p>
      <w:pPr>
        <w:spacing w:before="0" w:after="40"/>
      </w:pPr>
      <w:r>
        <w:rPr>
          <w:rFonts w:ascii="Calibri" w:hAnsi="Calibri"/>
          <w:b w:val="0"/>
          <w:i/>
        </w:rPr>
        <w:t>Brand Champion, UKG North America Regional Lead 2026  |  Fire Up ERG (women and allies), Business Innovation workstream lead — internal community programming and cross-region partnership work, building relationships across orgs that already pay off when I need to coordinate cross-functionally.</w:t>
      </w:r>
    </w:p>
    <w:p>
      <w:pPr>
        <w:spacing w:before="80" w:after="0"/>
      </w:pPr>
      <w:r>
        <w:rPr>
          <w:rFonts w:ascii="Calibri" w:hAnsi="Calibri"/>
          <w:b/>
          <w:i w:val="0"/>
        </w:rPr>
        <w:t>Business Analyst</w:t>
      </w:r>
      <w:r>
        <w:rPr>
          <w:rFonts w:ascii="Calibri" w:hAnsi="Calibri"/>
          <w:b w:val="0"/>
          <w:i w:val="0"/>
        </w:rPr>
        <w:t xml:space="preserve">    Jan 2014 – Jun 2024</w:t>
      </w:r>
    </w:p>
    <w:p>
      <w:pPr>
        <w:spacing w:before="0" w:after="60"/>
      </w:pPr>
      <w:r>
        <w:rPr>
          <w:rFonts w:ascii="Calibri" w:hAnsi="Calibri"/>
          <w:b w:val="0"/>
          <w:i/>
        </w:rPr>
        <w:t>Broadridge Financial Solutions  |  Andover, MA</w:t>
      </w:r>
    </w:p>
    <w:p>
      <w:pPr>
        <w:pStyle w:val="ListBullet"/>
        <w:spacing w:before="0" w:after="60"/>
        <w:ind w:left="360"/>
      </w:pPr>
      <w:r>
        <w:rPr>
          <w:rFonts w:ascii="Calibri" w:hAnsi="Calibri"/>
          <w:b w:val="0"/>
          <w:i w:val="0"/>
        </w:rPr>
        <w:t>Led 40+ enterprise client deployments end-to-end in a compliance-grade environment; developed strong instincts for executive stakeholder management, requirements quality, and the difference between a delivery that closes and a relationship that keeps producing.</w:t>
      </w:r>
    </w:p>
    <w:p>
      <w:pPr>
        <w:pStyle w:val="ListBullet"/>
        <w:spacing w:before="0" w:after="60"/>
        <w:ind w:left="360"/>
      </w:pPr>
      <w:r>
        <w:rPr>
          <w:rFonts w:ascii="Calibri" w:hAnsi="Calibri"/>
          <w:b w:val="0"/>
          <w:i w:val="0"/>
        </w:rPr>
        <w:t>Became internal SME for an omni-channel communication product adopted across the full client base; translated complex capabilities into workflows non-technical buyers could operate without support — the exact translation skill alliance partners want from their UKG counterpart.</w:t>
      </w:r>
    </w:p>
    <w:p>
      <w:pPr>
        <w:spacing w:before="80" w:after="0"/>
      </w:pPr>
      <w:r>
        <w:rPr>
          <w:rFonts w:ascii="Calibri" w:hAnsi="Calibri"/>
          <w:b/>
          <w:i w:val="0"/>
        </w:rPr>
        <w:t>Sr. Document Development Analyst</w:t>
      </w:r>
      <w:r>
        <w:rPr>
          <w:rFonts w:ascii="Calibri" w:hAnsi="Calibri"/>
          <w:b w:val="0"/>
          <w:i w:val="0"/>
        </w:rPr>
        <w:t xml:space="preserve">    Jan 2006 – Jan 2014</w:t>
      </w:r>
    </w:p>
    <w:p>
      <w:pPr>
        <w:spacing w:before="0" w:after="60"/>
      </w:pPr>
      <w:r>
        <w:rPr>
          <w:rFonts w:ascii="Calibri" w:hAnsi="Calibri"/>
          <w:b w:val="0"/>
          <w:i/>
        </w:rPr>
        <w:t>Broadridge Financial Solutions  |  Andover, MA</w:t>
      </w:r>
    </w:p>
    <w:p>
      <w:pPr>
        <w:spacing w:before="200" w:after="40"/>
      </w:pPr>
      <w:r>
        <w:rPr>
          <w:rFonts w:ascii="Calibri" w:hAnsi="Calibri"/>
          <w:b/>
          <w:i w:val="0"/>
          <w:sz w:val="22"/>
        </w:rPr>
        <w:t>SKILLS AND FOCUS AREAS</w:t>
      </w:r>
    </w:p>
    <w:p>
      <w:pPr>
        <w:spacing w:before="0" w:after="60"/>
      </w:pPr>
      <w:r>
        <w:rPr>
          <w:rFonts w:ascii="Calibri" w:hAnsi="Calibri"/>
          <w:b/>
          <w:i w:val="0"/>
        </w:rPr>
        <w:t xml:space="preserve">Partnerships &amp; Ecosystem:  </w:t>
      </w:r>
      <w:r>
        <w:rPr>
          <w:rFonts w:ascii="Calibri" w:hAnsi="Calibri"/>
          <w:b w:val="0"/>
          <w:i w:val="0"/>
        </w:rPr>
        <w:t>Strategic partnership thinking, joint roadmap conversations, cross-platform integration, marketplace ecosystem, co-sell readiness, partner-influenced ARR</w:t>
      </w:r>
    </w:p>
    <w:p>
      <w:pPr>
        <w:spacing w:before="0" w:after="60"/>
      </w:pPr>
      <w:r>
        <w:rPr>
          <w:rFonts w:ascii="Calibri" w:hAnsi="Calibri"/>
          <w:b/>
          <w:i w:val="0"/>
        </w:rPr>
        <w:t xml:space="preserve">Enterprise &amp; GTM:  </w:t>
      </w:r>
      <w:r>
        <w:rPr>
          <w:rFonts w:ascii="Calibri" w:hAnsi="Calibri"/>
          <w:b w:val="0"/>
          <w:i w:val="0"/>
        </w:rPr>
        <w:t>Executive stakeholder management, customer escalation and pre-upgrade rooms, QBR-shaped reporting, pipeline visibility, exec-room composure</w:t>
      </w:r>
    </w:p>
    <w:p>
      <w:pPr>
        <w:spacing w:before="0" w:after="60"/>
      </w:pPr>
      <w:r>
        <w:rPr>
          <w:rFonts w:ascii="Calibri" w:hAnsi="Calibri"/>
          <w:b/>
          <w:i w:val="0"/>
        </w:rPr>
        <w:t xml:space="preserve">Product:  </w:t>
      </w:r>
      <w:r>
        <w:rPr>
          <w:rFonts w:ascii="Calibri" w:hAnsi="Calibri"/>
          <w:b w:val="0"/>
          <w:i w:val="0"/>
        </w:rPr>
        <w:t>Platform PM, B2B SaaS, end-to-end delivery, MVP definition, cross-functional orchestration, voice-of-customer synthesis</w:t>
      </w:r>
    </w:p>
    <w:p>
      <w:pPr>
        <w:spacing w:before="0" w:after="60"/>
      </w:pPr>
      <w:r>
        <w:rPr>
          <w:rFonts w:ascii="Calibri" w:hAnsi="Calibri"/>
          <w:b/>
          <w:i w:val="0"/>
        </w:rPr>
        <w:t xml:space="preserve">AI and Systems:  </w:t>
      </w:r>
      <w:r>
        <w:rPr>
          <w:rFonts w:ascii="Calibri" w:hAnsi="Calibri"/>
          <w:b w:val="0"/>
          <w:i w:val="0"/>
        </w:rPr>
        <w:t>AI-fluent prototyping, agentic workflows, Claude Code, PM automation, zero-translation building</w:t>
      </w:r>
    </w:p>
    <w:p>
      <w:pPr>
        <w:spacing w:before="0" w:after="60"/>
      </w:pPr>
      <w:r>
        <w:rPr>
          <w:rFonts w:ascii="Calibri" w:hAnsi="Calibri"/>
          <w:b/>
          <w:i w:val="0"/>
        </w:rPr>
        <w:t xml:space="preserve">Tooling:  </w:t>
      </w:r>
      <w:r>
        <w:rPr>
          <w:rFonts w:ascii="Calibri" w:hAnsi="Calibri"/>
          <w:b w:val="0"/>
          <w:i w:val="0"/>
        </w:rPr>
        <w:t>Jira, Confluence, GitHub, SQL, Slack MCP, Claude Code CLI</w:t>
      </w:r>
    </w:p>
    <w:p>
      <w:pPr>
        <w:spacing w:before="200" w:after="40"/>
      </w:pPr>
      <w:r>
        <w:rPr>
          <w:rFonts w:ascii="Calibri" w:hAnsi="Calibri"/>
          <w:b/>
          <w:i w:val="0"/>
          <w:sz w:val="22"/>
        </w:rPr>
        <w:t>EDUCATION</w:t>
      </w:r>
    </w:p>
    <w:p>
      <w:pPr>
        <w:spacing w:before="0" w:after="0"/>
      </w:pPr>
      <w:r>
        <w:rPr>
          <w:rFonts w:ascii="Calibri" w:hAnsi="Calibri"/>
          <w:b/>
          <w:i w:val="0"/>
        </w:rPr>
        <w:t>Bachelor of Science, Management Information Systems and Management</w:t>
      </w:r>
    </w:p>
    <w:p>
      <w:pPr>
        <w:spacing w:before="0" w:after="40"/>
      </w:pPr>
      <w:r>
        <w:rPr>
          <w:rFonts w:ascii="Calibri" w:hAnsi="Calibri"/>
          <w:b w:val="0"/>
          <w:i w:val="0"/>
        </w:rPr>
        <w:t>Manning School of Business, UMass Lowell  |  1999</w:t>
      </w:r>
    </w:p>
    <w:p>
      <w:pPr>
        <w:spacing w:before="200" w:after="40"/>
      </w:pPr>
      <w:r>
        <w:rPr>
          <w:rFonts w:ascii="Calibri" w:hAnsi="Calibri"/>
          <w:b/>
          <w:i w:val="0"/>
          <w:sz w:val="22"/>
        </w:rPr>
        <w:t>WRITING AND THOUGHT LEADERSHIP</w:t>
      </w:r>
    </w:p>
    <w:p>
      <w:pPr>
        <w:spacing w:before="0" w:after="0"/>
      </w:pPr>
      <w:r>
        <w:rPr>
          <w:rFonts w:ascii="Calibri" w:hAnsi="Calibri"/>
          <w:b/>
          <w:i w:val="0"/>
        </w:rPr>
        <w:t>The Unofficial Leader</w:t>
      </w:r>
      <w:r>
        <w:rPr>
          <w:rFonts w:ascii="Calibri" w:hAnsi="Calibri"/>
          <w:b w:val="0"/>
          <w:i w:val="0"/>
        </w:rPr>
        <w:t xml:space="preserve">  (Substack)  |  theunofficialleader.substack.com</w:t>
      </w:r>
    </w:p>
    <w:p>
      <w:pPr>
        <w:spacing w:before="0" w:after="40"/>
      </w:pPr>
      <w:r>
        <w:rPr>
          <w:rFonts w:ascii="Calibri" w:hAnsi="Calibri"/>
          <w:b w:val="0"/>
          <w:i w:val="0"/>
        </w:rPr>
        <w:t>Weekly publication on AI adoption, unofficial leadership, and what's happening beneath the surface of how teams work. Originator of the Zero-Translation Building framework. Active LinkedIn audience engagement on product, AI adoption, and team dynamics.</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