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building at principal scope  |  data products with opinion  |  AI as core multiplier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operating at principal scope, whose strongest work is opinionated data and analytics products — instrumentation that routes action, not dashboards that display it. I ship the working prototype, not just the spec: I wrote a 0→1 tool's prototype myself in Claude Code, and it's in production today. Two years at UKG inside a $250M ARR enterprise program: owned product end-to-end from definition through release, built the org's first organized AI capability layer, and coached PMs into it as the in-house expert. A decade prior at Broadridge as an internal subject-matter expert in compliance-grade financial services. ~20 years of functional experience in enterprise software and data.</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Lowell, MA  |  $250M ARR program  |  Data &amp; analytics products, AI capability, and 0→1 platform tooling</w:t>
      </w:r>
    </w:p>
    <w:p>
      <w:pPr>
        <w:pStyle w:val="ListBullet"/>
        <w:spacing w:before="0" w:after="60"/>
        <w:ind w:left="360"/>
      </w:pPr>
      <w:r>
        <w:rPr>
          <w:rFonts w:ascii="Calibri" w:hAnsi="Calibri"/>
          <w:b/>
          <w:i w:val="0"/>
        </w:rPr>
        <w:t xml:space="preserve">Designed a five-panel operational analytics product </w:t>
      </w:r>
      <w:r>
        <w:rPr>
          <w:rFonts w:ascii="Calibri" w:hAnsi="Calibri"/>
          <w:b w:val="0"/>
          <w:i w:val="0"/>
        </w:rPr>
        <w:t>classifying open issues across customer escalations, code defects, internal bugs, CVEs, and noise across four products; auto-refreshed daily, with a Claude Code function I built into the tool surfacing the single highest-leverage action per panel. Cut the working defect list ~97% — roughly 200 apparent issues resolved to a real five — so engineering acted on signal, not noise. Opinionated routing, not a dashboard.</w:t>
      </w:r>
    </w:p>
    <w:p>
      <w:pPr>
        <w:pStyle w:val="ListBullet"/>
        <w:spacing w:before="0" w:after="60"/>
        <w:ind w:left="360"/>
      </w:pPr>
      <w:r>
        <w:rPr>
          <w:rFonts w:ascii="Calibri" w:hAnsi="Calibri"/>
          <w:b/>
          <w:i w:val="0"/>
        </w:rPr>
        <w:t xml:space="preserve">Built a composite ARR-risk model </w:t>
      </w:r>
      <w:r>
        <w:rPr>
          <w:rFonts w:ascii="Calibri" w:hAnsi="Calibri"/>
          <w:b w:val="0"/>
          <w:i w:val="0"/>
        </w:rPr>
        <w:t>scoring the top 10 accounts on a blend of ARR exposure, reported-case volume, true-defect count, and Salesforce sentiment — not raw ticket counts. Defined the success metric, automated weekly reporting, and surfaced aging risk before it escalated. Analytics with a point of view, built to drive a decision.</w:t>
      </w:r>
    </w:p>
    <w:p>
      <w:pPr>
        <w:pStyle w:val="ListBullet"/>
        <w:spacing w:before="0" w:after="60"/>
        <w:ind w:left="360"/>
      </w:pPr>
      <w:r>
        <w:rPr>
          <w:rFonts w:ascii="Calibri" w:hAnsi="Calibri"/>
          <w:b/>
          <w:i w:val="0"/>
        </w:rPr>
        <w:t xml:space="preserve">Built the organization's first organized AI capability layer — as the in-house expert. </w:t>
      </w:r>
      <w:r>
        <w:rPr>
          <w:rFonts w:ascii="Calibri" w:hAnsi="Calibri"/>
          <w:b w:val="0"/>
          <w:i w:val="0"/>
        </w:rPr>
        <w:t>Started as a personal automation library; built it into shared infrastructure 20 PMs could pull from, ran the first peer group, and coached individual PMs into their own use cases. Recognized SME setting direction for peers with no mandate behind it — the substance of a lead role without the title.</w:t>
      </w:r>
    </w:p>
    <w:p>
      <w:pPr>
        <w:pStyle w:val="ListBullet"/>
        <w:spacing w:before="0" w:after="60"/>
        <w:ind w:left="360"/>
      </w:pPr>
      <w:r>
        <w:rPr>
          <w:rFonts w:ascii="Calibri" w:hAnsi="Calibri"/>
          <w:b/>
          <w:i w:val="0"/>
        </w:rPr>
        <w:t xml:space="preserve">Took a 0→1 product from definition to production. </w:t>
      </w:r>
      <w:r>
        <w:rPr>
          <w:rFonts w:ascii="Calibri" w:hAnsi="Calibri"/>
          <w:b w:val="0"/>
          <w:i w:val="0"/>
        </w:rPr>
        <w:t>Decomposed an ambiguous concept (UI, rules, deployment), wrote the working prototype myself in Claude Code, defined requirements with the platform architect, and delivered the full lifecycle package — epics, stories, sequencing, roadmap. In production with the first customer cohort.</w:t>
      </w:r>
    </w:p>
    <w:p>
      <w:pPr>
        <w:pStyle w:val="ListBullet"/>
        <w:spacing w:before="0" w:after="60"/>
        <w:ind w:left="360"/>
      </w:pPr>
      <w:r>
        <w:rPr>
          <w:rFonts w:ascii="Calibri" w:hAnsi="Calibri"/>
          <w:b/>
          <w:i w:val="0"/>
        </w:rPr>
        <w:t xml:space="preserve">Designed delivery-health instrumentation </w:t>
      </w:r>
      <w:r>
        <w:rPr>
          <w:rFonts w:ascii="Calibri" w:hAnsi="Calibri"/>
          <w:b w:val="0"/>
          <w:i w:val="0"/>
        </w:rPr>
        <w:t>refreshing every 15 minutes across two engineering teams, with documented rejection criteria for burndown, velocity, and delivery anti-patterns — each with technical rationale.</w:t>
      </w:r>
    </w:p>
    <w:p>
      <w:pPr>
        <w:pStyle w:val="ListBullet"/>
        <w:spacing w:before="0" w:after="60"/>
        <w:ind w:left="360"/>
      </w:pPr>
      <w:r>
        <w:rPr>
          <w:rFonts w:ascii="Calibri" w:hAnsi="Calibri"/>
          <w:b/>
          <w:i w:val="0"/>
        </w:rPr>
        <w:t xml:space="preserve">Was the product-side voice in the engineering escalation room </w:t>
      </w:r>
      <w:r>
        <w:rPr>
          <w:rFonts w:ascii="Calibri" w:hAnsi="Calibri"/>
          <w:b w:val="0"/>
          <w:i w:val="0"/>
        </w:rPr>
        <w:t>— synthesizing what 300 enterprise customers ($250M ARR) needed versus what was committed, and influencing prioritization and tradeoff decisions across product, engineering, and services.</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Internal subject-matter expert for an omni-channel product adopted across the full enterprise client base; the in-house authority who translated complex technical and compliance capabilities into product direction non-technical stakeholders could act on.</w:t>
      </w:r>
    </w:p>
    <w:p>
      <w:pPr>
        <w:pStyle w:val="ListBullet"/>
        <w:spacing w:before="0" w:after="60"/>
        <w:ind w:left="360"/>
      </w:pPr>
      <w:r>
        <w:rPr>
          <w:rFonts w:ascii="Calibri" w:hAnsi="Calibri"/>
          <w:b w:val="0"/>
          <w:i w:val="0"/>
        </w:rPr>
        <w:t>Led 40+ enterprise client deployments end-to-end in a compliance-grade, regulated environment; partnered deeply with engineering on system behavior, data flows, and technical tradeoffs.</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Data &amp; Analytics:  </w:t>
      </w:r>
      <w:r>
        <w:rPr>
          <w:rFonts w:ascii="Calibri" w:hAnsi="Calibri"/>
          <w:b w:val="0"/>
          <w:i w:val="0"/>
        </w:rPr>
        <w:t>Opinionated analytics products, composite scoring and risk modeling, instrumentation that routes action, KPI/success-metric definition, automated reporting cadence, qualitative-to-structured synthesis, signal-over-noise design</w:t>
      </w:r>
    </w:p>
    <w:p>
      <w:pPr>
        <w:spacing w:before="0" w:after="60"/>
      </w:pPr>
      <w:r>
        <w:rPr>
          <w:rFonts w:ascii="Calibri" w:hAnsi="Calibri"/>
          <w:b/>
          <w:i w:val="0"/>
        </w:rPr>
        <w:t xml:space="preserve">AI as Core Multiplier:  </w:t>
      </w:r>
      <w:r>
        <w:rPr>
          <w:rFonts w:ascii="Calibri" w:hAnsi="Calibri"/>
          <w:b w:val="0"/>
          <w:i w:val="0"/>
        </w:rPr>
        <w:t>Claude Code prototyping, AI capability enablement at org scale, in-house AI subject-matter expertise, agentic workflows, AI-fluent product development, zero-translation building</w:t>
      </w:r>
    </w:p>
    <w:p>
      <w:pPr>
        <w:spacing w:before="0" w:after="60"/>
      </w:pPr>
      <w:r>
        <w:rPr>
          <w:rFonts w:ascii="Calibri" w:hAnsi="Calibri"/>
          <w:b/>
          <w:i w:val="0"/>
        </w:rPr>
        <w:t xml:space="preserve">Product (Lead scope):  </w:t>
      </w:r>
      <w:r>
        <w:rPr>
          <w:rFonts w:ascii="Calibri" w:hAnsi="Calibri"/>
          <w:b w:val="0"/>
          <w:i w:val="0"/>
        </w:rPr>
        <w:t>Full product lifecycle from definition through release and maintenance, 0→1 product building, recognized SME / in-house authority, coaching and direction-setting for peers and junior PMs, influence over practices without direct authority, prioritization and tradeoff facilitation, B2B SaaS</w:t>
      </w:r>
    </w:p>
    <w:p>
      <w:pPr>
        <w:spacing w:before="0" w:after="60"/>
      </w:pPr>
      <w:r>
        <w:rPr>
          <w:rFonts w:ascii="Calibri" w:hAnsi="Calibri"/>
          <w:b/>
          <w:i w:val="0"/>
        </w:rPr>
        <w:t xml:space="preserve">Compliance &amp; Enterprise:  </w:t>
      </w:r>
      <w:r>
        <w:rPr>
          <w:rFonts w:ascii="Calibri" w:hAnsi="Calibri"/>
          <w:b w:val="0"/>
          <w:i w:val="0"/>
        </w:rPr>
        <w:t>Compliance-grade regulated delivery, enterprise stakeholder synthesis, executive escalation-room presence, multi-org program coordination</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adoption as a productivity multiplier, data-driven decision-making, and what's happening beneath the surface of how teams work. Originator of the Zero-Translation Building framework.</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