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at enterprise scale.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and CVEs across four products; auto-refreshed daily, surfacing a single highest-leverage action per view.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