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sz w:val="36"/>
        </w:rPr>
        <w:t>Ian Cowpar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Boston, MA  ·  ian.cowpar@gmail.com  ·  351-235-0365  ·  linkedin.com/in/ian-cowpar  ·  github.com/iancowpar  ·  theunofficialleader.substack.com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SUMMARY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Senior product manager who builds AI capability platforms for the internal product teams that depend on them — and lives in the tools daily, maintaining 20 custom slash commands and a personal Claude Code productivity OS in active use. Specialized in turning ambiguous, technical problems into shipped platform tooling: writing the prototype myself, defining what "good" looks like with measurable signal, and removing engineering as the bottleneck for internal builders. Two years operating at principal scope at UKG; a decade prior in compliance-grade financial services at Broadridge. Originator of the Zero-Translation Building framework; weekly published thought leadership on AI adoption realism. Known for opinionated data products that route a decision rather than display one — and for adoption that holds because nobody had to order it.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EXPERIENCE</w:t>
      </w:r>
    </w:p>
    <w:p>
      <w:pPr>
        <w:spacing w:before="40" w:after="0"/>
      </w:pPr>
      <w:r>
        <w:rPr>
          <w:rFonts w:ascii="Calibri" w:hAnsi="Calibri"/>
          <w:b/>
          <w:i w:val="0"/>
        </w:rPr>
        <w:t>Senior Product Manager</w:t>
      </w:r>
      <w:r>
        <w:rPr>
          <w:rFonts w:ascii="Calibri" w:hAnsi="Calibri"/>
          <w:b w:val="0"/>
          <w:i w:val="0"/>
        </w:rPr>
        <w:t xml:space="preserve">    ·  UKG  ·  Lowell, MA  ·  Jun 2024 – Apr 2026</w:t>
      </w:r>
    </w:p>
    <w:p>
      <w:pPr>
        <w:spacing w:before="0" w:after="60"/>
      </w:pPr>
      <w:r>
        <w:rPr>
          <w:rFonts w:ascii="Calibri" w:hAnsi="Calibri"/>
          <w:b w:val="0"/>
          <w:i/>
        </w:rPr>
        <w:t>$250M ARR enterprise platform program  ·  AI capability platform, 0→1 product, opinionated data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the product organization's first organized AI capability platform </w:t>
      </w:r>
      <w:r>
        <w:rPr>
          <w:rFonts w:ascii="Calibri" w:hAnsi="Calibri"/>
          <w:b w:val="0"/>
          <w:i w:val="0"/>
        </w:rPr>
        <w:t>, scaling shared infrastructure that 20 PMs adopted with sustained voluntary creation — multiple PMs built their own custom slash commands that replaced manual workflows entirely (behavior extinction, not addition) — by designing for org-wide reuse from day one, running the founding peer group, and coaching individual PMs into role-specific use cases without top-down mandate.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Shipped a 0→1 self-serve migration platform from idea to production in a one-week prototype cycle </w:t>
      </w:r>
      <w:r>
        <w:rPr>
          <w:rFonts w:ascii="Calibri" w:hAnsi="Calibri"/>
          <w:b w:val="0"/>
          <w:i w:val="0"/>
        </w:rPr>
        <w:t>, projected to deliver ~30% time reduction in the underlying enterprise workflow and remove engineering from the critical path — by personally writing the working prototype in Claude Code, decomposing scope across three business epics (UI, rules, deployment), and delivering an engineering-ready package the platform architect built against.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Designed an opinionated operational analytics product with a Claude Code function embedded as a first-class feature </w:t>
      </w:r>
      <w:r>
        <w:rPr>
          <w:rFonts w:ascii="Calibri" w:hAnsi="Calibri"/>
          <w:b w:val="0"/>
          <w:i w:val="0"/>
        </w:rPr>
        <w:t>, cutting a working defect list from ~200 issues to 5 (~97% reduction) so engineering triaged signal not noise — by classifying open issues across five panels (escalations, defects, internal bugs, CVEs, noise) across four products and surfacing the single highest-leverage action per panel.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a composite ARR-risk model for the top accounts in the enterprise upgrade program that surfaced ~$50M in at-risk ARR requiring immediate intervention </w:t>
      </w:r>
      <w:r>
        <w:rPr>
          <w:rFonts w:ascii="Calibri" w:hAnsi="Calibri"/>
          <w:b w:val="0"/>
          <w:i w:val="0"/>
        </w:rPr>
        <w:t>before escalation — by replacing raw ticket counts with weighted signal across exposure, case volume, true-defect rate, and Salesforce sentiment, and automating the weekly metric the program lead acted on.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Influenced cross-functional prioritization across product, engineering, and services without direct authority </w:t>
      </w:r>
      <w:r>
        <w:rPr>
          <w:rFonts w:ascii="Calibri" w:hAnsi="Calibri"/>
          <w:b w:val="0"/>
          <w:i w:val="0"/>
        </w:rPr>
        <w:t>in executive escalation rooms — synthesizing what 300 enterprise customers ($250M ARR) actually needed against what was committed, and translating that into tradeoff decisions across four product lines.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Designed delivery-health instrumentation refreshing every 15 minutes </w:t>
      </w:r>
      <w:r>
        <w:rPr>
          <w:rFonts w:ascii="Calibri" w:hAnsi="Calibri"/>
          <w:b w:val="0"/>
          <w:i w:val="0"/>
        </w:rPr>
        <w:t>across two engineering teams, with documented rejection criteria for burndown, velocity, and story-point anti-patterns — process governance built for signal, not ceremony.</w:t>
      </w:r>
    </w:p>
    <w:p>
      <w:pPr>
        <w:spacing w:before="0" w:after="40"/>
      </w:pPr>
      <w:r>
        <w:rPr>
          <w:rFonts w:ascii="Calibri" w:hAnsi="Calibri"/>
          <w:b w:val="0"/>
          <w:i/>
        </w:rPr>
        <w:t>Brand Champion, UKG North America Regional Lead 2026  ·  Fire Up ERG (women and allies), Business Innovation workstream lead</w:t>
      </w:r>
    </w:p>
    <w:p>
      <w:pPr>
        <w:spacing w:before="80" w:after="0"/>
      </w:pPr>
      <w:r>
        <w:rPr>
          <w:rFonts w:ascii="Calibri" w:hAnsi="Calibri"/>
          <w:b/>
          <w:i w:val="0"/>
        </w:rPr>
        <w:t>Business Analyst</w:t>
      </w:r>
      <w:r>
        <w:rPr>
          <w:rFonts w:ascii="Calibri" w:hAnsi="Calibri"/>
          <w:b w:val="0"/>
          <w:i w:val="0"/>
        </w:rPr>
        <w:t xml:space="preserve">    ·  Broadridge Financial Solutions  ·  Andover, MA  ·  Jan 2014 – Jun 2024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Led 40+ enterprise client deployments end-to-end in a compliance-grade financial services environment </w:t>
      </w:r>
      <w:r>
        <w:rPr>
          <w:rFonts w:ascii="Calibri" w:hAnsi="Calibri"/>
          <w:b w:val="0"/>
          <w:i w:val="0"/>
        </w:rPr>
        <w:t>, partnering deeply with engineering on system behavior, data flows, integration dependencies, and technical tradeoffs — built strong instincts for regulatory-consequence delivery and requirements quality at scale.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Served as internal subject-matter expert for an omni-channel communication product adopted across the full enterprise client base </w:t>
      </w:r>
      <w:r>
        <w:rPr>
          <w:rFonts w:ascii="Calibri" w:hAnsi="Calibri"/>
          <w:b w:val="0"/>
          <w:i w:val="0"/>
        </w:rPr>
        <w:t>, translating complex technical and compliance capabilities into workflows non-technical buyers could operate without support.</w:t>
      </w:r>
    </w:p>
    <w:p>
      <w:pPr>
        <w:spacing w:before="80" w:after="0"/>
      </w:pPr>
      <w:r>
        <w:rPr>
          <w:rFonts w:ascii="Calibri" w:hAnsi="Calibri"/>
          <w:b/>
          <w:i w:val="0"/>
        </w:rPr>
        <w:t>Sr. Document Development Analyst</w:t>
      </w:r>
      <w:r>
        <w:rPr>
          <w:rFonts w:ascii="Calibri" w:hAnsi="Calibri"/>
          <w:b w:val="0"/>
          <w:i w:val="0"/>
        </w:rPr>
        <w:t xml:space="preserve">    ·  Broadridge Financial Solutions  ·  Andover, MA  ·  Jan 2006 – Jan 2014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Built and maintained complex client-facing document and communication systems in a regulated financial services environment — the governance and requirements-rigor foundation the later deployment-leadership work was built on.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SKILLS AND FOCUS AREAS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Product Strategy:  </w:t>
      </w:r>
      <w:r>
        <w:rPr>
          <w:rFonts w:ascii="Calibri" w:hAnsi="Calibri"/>
          <w:b w:val="0"/>
          <w:i w:val="0"/>
        </w:rPr>
        <w:t>Platform product strategy and 2–3 year roadmap, OKRs into focused product bets, 0→1 product building, prioritization and tradeoff decisions in ambiguous spaces, outcomes over output, mentoring junior PMs, recognized SME leadership, influence without authority across product / engineering / GTM, B2B SaaS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AI as Co-Builder:  </w:t>
      </w:r>
      <w:r>
        <w:rPr>
          <w:rFonts w:ascii="Calibri" w:hAnsi="Calibri"/>
          <w:b w:val="0"/>
          <w:i w:val="0"/>
        </w:rPr>
        <w:t>Deep daily use of agentic AI tooling (20 custom slash commands and a personal Claude Code productivity OS in active use); embedding AI features inside internal products; AI capability enablement at org scale; responsible / customer-centric AI judgment; agentic workflows; Zero-Translation Building (framework originator)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Data &amp; Experimentation:  </w:t>
      </w:r>
      <w:r>
        <w:rPr>
          <w:rFonts w:ascii="Calibri" w:hAnsi="Calibri"/>
          <w:b w:val="0"/>
          <w:i w:val="0"/>
        </w:rPr>
        <w:t>Opinionated analytics products, composite scoring and risk modeling, success-metric definition, hypothesis-driven development, qualitative-to-structured synthesis, KPI definition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Technical Credibility:  </w:t>
      </w:r>
      <w:r>
        <w:rPr>
          <w:rFonts w:ascii="Calibri" w:hAnsi="Calibri"/>
          <w:b w:val="0"/>
          <w:i w:val="0"/>
        </w:rPr>
        <w:t>APIs and system architecture, data flows and integration tradeoffs, deployment-model and platform product thinking, technical-systems fluency with engineering, requirements engineering, SQL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Tooling:  </w:t>
      </w:r>
      <w:r>
        <w:rPr>
          <w:rFonts w:ascii="Calibri" w:hAnsi="Calibri"/>
          <w:b w:val="0"/>
          <w:i w:val="0"/>
        </w:rPr>
        <w:t>Jira, Confluence, GitHub, SQL, Slack MCP, Claude Code CLI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EDUCATION</w:t>
      </w:r>
    </w:p>
    <w:p>
      <w:pPr>
        <w:spacing w:before="0" w:after="0"/>
      </w:pPr>
      <w:r>
        <w:rPr>
          <w:rFonts w:ascii="Calibri" w:hAnsi="Calibri"/>
          <w:b/>
          <w:i w:val="0"/>
        </w:rPr>
        <w:t>Bachelor of Science, Management Information Systems and Management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Manning School of Business, UMass Lowell  ·  1999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WRITING AND THOUGHT LEADERSHIP</w:t>
      </w:r>
    </w:p>
    <w:p>
      <w:pPr>
        <w:spacing w:before="0" w:after="0"/>
      </w:pPr>
      <w:r>
        <w:rPr>
          <w:rFonts w:ascii="Calibri" w:hAnsi="Calibri"/>
          <w:b/>
          <w:i w:val="0"/>
        </w:rPr>
        <w:t>The Unofficial Leader</w:t>
      </w:r>
      <w:r>
        <w:rPr>
          <w:rFonts w:ascii="Calibri" w:hAnsi="Calibri"/>
          <w:b w:val="0"/>
          <w:i w:val="0"/>
        </w:rPr>
        <w:t xml:space="preserve">  (Substack)  ·  theunofficialleader.substack.com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Weekly publication on where AI actually earns its place, adoption realism, and what's happening beneath the surface of how teams work. Originator of the Zero-Translation Building framework. Active LinkedIn audience engagement on product, AI adoption, and team dynamics.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