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AI-fluent prototyping  |  data products with opinion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building platform tooling, self-serve flows, and data products that turn complex enterprise workflows into something a non-engineer can run without a ticket. I ship the working prototype, not just the spec — I wrote the 0→1 migration tool's prototype myself in Claude Code, and it's in production today. Two years at UKG protecting 300 enterprise customers ($250M ARR) through a multi-year migration off legacy workforce management: owned product strategy and roadmap, ran cross-functional delivery shoulder-to-shoulder with engineering and services, and scaled the org's first organized AI capability layer without a top-down mandate. Ten years prior at Broadridge: 40+ enterprise deployments and deep engineering partnership in a high-consequence delivery environment.</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  Platform tooling, self-serve flows, and operational analytics protecting enterprise customers through migration</w:t>
      </w:r>
    </w:p>
    <w:p>
      <w:pPr>
        <w:pStyle w:val="ListBullet"/>
        <w:spacing w:before="0" w:after="60"/>
        <w:ind w:left="360"/>
      </w:pPr>
      <w:r>
        <w:rPr>
          <w:rFonts w:ascii="Calibri" w:hAnsi="Calibri"/>
          <w:b/>
          <w:i w:val="0"/>
        </w:rPr>
        <w:t xml:space="preserve">Built a 0→1 self-serve migration tool — idea to engineering-ready in one week. </w:t>
      </w:r>
      <w:r>
        <w:rPr>
          <w:rFonts w:ascii="Calibri" w:hAnsi="Calibri"/>
          <w:b w:val="0"/>
          <w:i w:val="0"/>
        </w:rPr>
        <w:t>Took it from concept through three business-epic decomposition (UI, rules, deployment), wrote the working prototype myself in Claude Code, designed the UX feedback loop and persona, and handed engineering a complete delivery package — bepics, epics, stories, Gantt, roadmap. In production with the first customer cohort — 6 enterprise accounts in flight, Services running migrations without an engineering ticket, Services-Consultant feedback loop active.</w:t>
      </w:r>
    </w:p>
    <w:p>
      <w:pPr>
        <w:pStyle w:val="ListBullet"/>
        <w:spacing w:before="0" w:after="60"/>
        <w:ind w:left="360"/>
      </w:pPr>
      <w:r>
        <w:rPr>
          <w:rFonts w:ascii="Calibri" w:hAnsi="Calibri"/>
          <w:b/>
          <w:i w:val="0"/>
        </w:rPr>
        <w:t xml:space="preserve">Built UKG product's first organized AI capability layer. </w:t>
      </w:r>
      <w:r>
        <w:rPr>
          <w:rFonts w:ascii="Calibri" w:hAnsi="Calibri"/>
          <w:b w:val="0"/>
          <w:i w:val="0"/>
        </w:rPr>
        <w:t>Started as a personal automation library; built it into a shared repo 20 PMs could pull from, ran the first peer group, and sat with two PMs directly to configure it for their own use cases. Designed from the start to spread without a mandate — shared infrastructure, not personal tooling, because the only adoption that lasts is the kind nobody had to order.</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customer escalations, code defects, internal bugs, CVEs, and noise across four products; auto-refreshed daily, with a Claude Code function I built into the tool surfacing the single highest-leverage action per panel. Cut the working defect list ~97% — roughly 200 apparent issues resolved to a real five — so engineering triaged signal, not noise. Opinionated routing, not a dashboard.</w:t>
      </w:r>
    </w:p>
    <w:p>
      <w:pPr>
        <w:pStyle w:val="ListBullet"/>
        <w:spacing w:before="0" w:after="60"/>
        <w:ind w:left="360"/>
      </w:pPr>
      <w:r>
        <w:rPr>
          <w:rFonts w:ascii="Calibri" w:hAnsi="Calibri"/>
          <w:b/>
          <w:i w:val="0"/>
        </w:rPr>
        <w:t xml:space="preserve">Built an ARR-risk model for the UTA upgrade program </w:t>
      </w:r>
      <w:r>
        <w:rPr>
          <w:rFonts w:ascii="Calibri" w:hAnsi="Calibri"/>
          <w:b w:val="0"/>
          <w:i w:val="0"/>
        </w:rPr>
        <w:t>scoring the top 10 accounts on a blend of ARR exposure, reported-case volume, true-defect count, and Salesforce sentiment — not raw ticket counts. Automated weekly reporting routed every open blocker to the program lead; live tracking surfaced aging issues before they escalated.</w:t>
      </w:r>
    </w:p>
    <w:p>
      <w:pPr>
        <w:pStyle w:val="ListBullet"/>
        <w:spacing w:before="0" w:after="60"/>
        <w:ind w:left="360"/>
      </w:pPr>
      <w:r>
        <w:rPr>
          <w:rFonts w:ascii="Calibri" w:hAnsi="Calibri"/>
          <w:b/>
          <w:i w:val="0"/>
        </w:rPr>
        <w:t xml:space="preserve">Designed sprint health instrumentation </w:t>
      </w:r>
      <w:r>
        <w:rPr>
          <w:rFonts w:ascii="Calibri" w:hAnsi="Calibri"/>
          <w:b w:val="0"/>
          <w:i w:val="0"/>
        </w:rPr>
        <w:t>refreshing every 15 minutes across two engineering teams, with documented rejection criteria for burndown, velocity, and story-point anti-patterns — each with technical rationale. Built for signal, not ceremony.</w:t>
      </w:r>
    </w:p>
    <w:p>
      <w:pPr>
        <w:pStyle w:val="ListBullet"/>
        <w:spacing w:before="0" w:after="60"/>
        <w:ind w:left="360"/>
      </w:pPr>
      <w:r>
        <w:rPr>
          <w:rFonts w:ascii="Calibri" w:hAnsi="Calibri"/>
          <w:b/>
          <w:i w:val="0"/>
        </w:rPr>
        <w:t xml:space="preserve">Served as the product-side voice on enterprise customer escalation and pre-upgrade calls </w:t>
      </w:r>
      <w:r>
        <w:rPr>
          <w:rFonts w:ascii="Calibri" w:hAnsi="Calibri"/>
          <w:b w:val="0"/>
          <w:i w:val="0"/>
        </w:rPr>
        <w:t>— synthesizing what 300 UTA customers ($250M ARR) actually needed versus what was on the roadmap, feeding that gap back into prioritization decisions.</w:t>
      </w:r>
    </w:p>
    <w:p>
      <w:pPr>
        <w:spacing w:before="0" w:after="40"/>
      </w:pPr>
      <w:r>
        <w:rPr>
          <w:rFonts w:ascii="Calibri" w:hAnsi="Calibri"/>
          <w:b w:val="0"/>
          <w:i/>
        </w:rPr>
        <w:t>Brand Champion, UKG North America Regional Lead 2026  |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Led 40+ enterprise client deployments end-to-end; partnered deeply with engineering on system behavior, integration, and technical tradeoffs, and built strong instincts for requirements quality and the difference between a delivery that closes and a product that keeps producing.</w:t>
      </w:r>
    </w:p>
    <w:p>
      <w:pPr>
        <w:pStyle w:val="ListBullet"/>
        <w:spacing w:before="0" w:after="60"/>
        <w:ind w:left="360"/>
      </w:pPr>
      <w:r>
        <w:rPr>
          <w:rFonts w:ascii="Calibri" w:hAnsi="Calibri"/>
          <w:b w:val="0"/>
          <w:i w:val="0"/>
        </w:rPr>
        <w:t>Internal SME for an omni-channel communication product adopted across the full client base; translated complex capabilities into workflows non-technical users could operate without support.</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w:t>
      </w:r>
      <w:r>
        <w:rPr>
          <w:rFonts w:ascii="Calibri" w:hAnsi="Calibri"/>
          <w:b w:val="0"/>
          <w:i w:val="0"/>
        </w:rPr>
        <w:t>0→1 product building, product strategy &amp; roadmap, prioritization and tradeoff decisions, self-serve and operational-efficiency products, MVP definition, end-to-end delivery from prototype to production, customer discovery, persona and UX feedback loops, Agile/Scrum, cross-functional delivery with engineering, B2B SaaS</w:t>
      </w:r>
    </w:p>
    <w:p>
      <w:pPr>
        <w:spacing w:before="0" w:after="60"/>
      </w:pPr>
      <w:r>
        <w:rPr>
          <w:rFonts w:ascii="Calibri" w:hAnsi="Calibri"/>
          <w:b/>
          <w:i w:val="0"/>
        </w:rPr>
        <w:t xml:space="preserve">AI as Co-Builder:  </w:t>
      </w:r>
      <w:r>
        <w:rPr>
          <w:rFonts w:ascii="Calibri" w:hAnsi="Calibri"/>
          <w:b w:val="0"/>
          <w:i w:val="0"/>
        </w:rPr>
        <w:t>Claude Code prototyping, agentic workflows, AI-fluent product development, technical-systems fluency (APIs, integration tradeoffs), PM automation, zero-translation building</w:t>
      </w:r>
    </w:p>
    <w:p>
      <w:pPr>
        <w:spacing w:before="0" w:after="60"/>
      </w:pPr>
      <w:r>
        <w:rPr>
          <w:rFonts w:ascii="Calibri" w:hAnsi="Calibri"/>
          <w:b/>
          <w:i w:val="0"/>
        </w:rPr>
        <w:t xml:space="preserve">Data &amp; Analytics:  </w:t>
      </w:r>
      <w:r>
        <w:rPr>
          <w:rFonts w:ascii="Calibri" w:hAnsi="Calibri"/>
          <w:b w:val="0"/>
          <w:i w:val="0"/>
        </w:rPr>
        <w:t>Operational analytics products, opinionated instrumentation, composite risk modeling, KPI definition, automated reporting cadence, qualitative-to-structured synthesis</w:t>
      </w:r>
    </w:p>
    <w:p>
      <w:pPr>
        <w:spacing w:before="0" w:after="60"/>
      </w:pPr>
      <w:r>
        <w:rPr>
          <w:rFonts w:ascii="Calibri" w:hAnsi="Calibri"/>
          <w:b/>
          <w:i w:val="0"/>
        </w:rPr>
        <w:t xml:space="preserve">Enterprise &amp; Delivery:  </w:t>
      </w:r>
      <w:r>
        <w:rPr>
          <w:rFonts w:ascii="Calibri" w:hAnsi="Calibri"/>
          <w:b w:val="0"/>
          <w:i w:val="0"/>
        </w:rPr>
        <w:t>Enterprise customer deployment at scale, stakeholder management across multi-org programs, executive customer engagement, escalation room presence, high-consequence delivery rigor</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unofficial leadership,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