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Team, Bonterra — Fundraising Experiences</w:t>
      </w:r>
    </w:p>
    <w:p>
      <w:pPr>
        <w:spacing w:after="200" w:line="276" w:lineRule="auto"/>
      </w:pPr>
      <w:r>
        <w:rPr>
          <w:rFonts w:ascii="Calibri" w:hAnsi="Calibri"/>
          <w:i w:val="0"/>
        </w:rPr>
        <w:t xml:space="preserve">One line in your "What You Bring" did the deciding: </w:t>
      </w:r>
      <w:r>
        <w:rPr>
          <w:rFonts w:ascii="Calibri" w:hAnsi="Calibri"/>
          <w:i/>
        </w:rPr>
        <w:t>"Practical fluency with AI tools and workflows — you use AI to do your own job better, not just as a talking point."</w:t>
      </w:r>
      <w:r>
        <w:rPr>
          <w:rFonts w:ascii="Calibri" w:hAnsi="Calibri"/>
          <w:i w:val="0"/>
        </w:rPr>
        <w:t xml:space="preserve"> That distinction is the whole reason I'm writing, because I sit on the strong side of it and I'm going to be precise about which side of two others I sit on.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AI-fluency line is me, demonstrably. I built an organization's first organized AI capability layer from zero — no mandate, a shared system 20 PMs could actually pull from — and I prototype in Claude Code daily; the last 0→1 product I owned, I wrote the working prototype myself. I also write every week about where AI genuinely earns its place versus where it's theater, which is the same instinct as your "responsible, customer-centric AI without slowing teams down." That's not a talking point on my side; it's how I work and what I think about.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 xml:space="preserve">Now the honest part, because your JD draws a line I respect. You also ask for </w:t>
      </w:r>
      <w:r>
        <w:rPr>
          <w:rFonts w:ascii="Calibri" w:hAnsi="Calibri"/>
          <w:i/>
        </w:rPr>
        <w:t>shipping AI-powered or ML-driven product features</w:t>
      </w:r>
      <w:r>
        <w:rPr>
          <w:rFonts w:ascii="Calibri" w:hAnsi="Calibri"/>
          <w:i w:val="0"/>
        </w:rPr>
        <w:t>. My AI work is as a co-builder and as internal capability — I have not shipped commercial AI/ML features in a customer-facing product, and I won't blur those two things; an interview would find the seam in minutes. Two related notes: pricing, packaging, and monetization ownership is the lightest area of this role for me — I'd be ramping there, not leading on day one — and my product-manager title is two years old against your 8+, though it sits on roughly twenty years of functional experience and two years operating at genuine principal scope.</w:t>
      </w:r>
    </w:p>
    <w:p>
      <w:pPr>
        <w:spacing w:after="200" w:line="276" w:lineRule="auto"/>
      </w:pPr>
      <w:r>
        <w:rPr>
          <w:rFonts w:ascii="Calibri" w:hAnsi="Calibri"/>
          <w:i w:val="0"/>
        </w:rPr>
        <w:t xml:space="preserve">What I'd put weight on is the spine of the role: owning strategy and </w:t>
      </w:r>
      <w:r>
        <w:rPr>
          <w:rFonts w:ascii="Calibri" w:hAnsi="Calibri"/>
          <w:i/>
        </w:rPr>
        <w:t>outcomes</w:t>
      </w:r>
      <w:r>
        <w:rPr>
          <w:rFonts w:ascii="Calibri" w:hAnsi="Calibri"/>
          <w:i w:val="0"/>
        </w:rPr>
        <w:t xml:space="preserve"> rather than feature delivery, continuous discovery, data- and hypothesis-driven calls, leading cross-functional teams through ambiguity, mentoring junior PMs, and influencing without authority. The AI capability layer is the single proof of most of that — SME, mentor, adoption through influence, all at once. The discovery and outcomes discipline is the through-line of the rest.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On the mission: I don't lead with this lightly. I've spent two years writing about doing work you can stand behind; building technology that lets social-good organizations raise more is the rare case where that's the literal product, not a values page. That part isn't a stretch.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