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Senior PM  |  0→1 self-serve flows in compliance domains  |  AI-as-co-builder  |  ships working prototypes, not specs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with a track record of building 0→1 self-serve products inside compliance-heavy enterprise environments. I take ideas from discovery through working prototype through engineering handoff — and I write the working prototype myself in Claude Code rather than handing engineering a spec and waiting. Two years at UKG (Senior PM, $250M ARR) building self-serve flows that absorbed enterprise complexity behind the scenes; ten years before that at Broadridge running compliance-grade financial services deployments. The discipline transfers cleanly to SMB: the harder version of the problem is enterprise complexity, and the design instinct I built there scales down faster than the typical SMB PM scales up.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0→1 self-serve products, AI-fluent prototyping, compliance-heavy enterprise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product,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built the working prototype myself in Claude Code, designed the UX feedback loop and persona, and handed engineering a complete package — bepics, epics, stories, Gantt, roadmap. Now in active production; the Services org runs migrations independently without an engineering ticket. Closes the gap between licensing the platform and actually using it.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personal tooling, scaled into team-wide shared capability without a top-down mandate. Adoption spread because the thing worked better than what it replaced — the only kind of adoption that lasts. Receipt for AI-as-co-builder posture, not a claim.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CVEs, and noise across four products; auto-refreshed daily, with a Claude Code function I built into the tool surfacing the single highest-leverage action per panel.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anti-patterns. Opinionated tooling with a thesis baked into what it measured.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customers actually needed versus what was on the roadmap. Discovery muscle in its hardest configuration.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0→1 product building, self-serve flow design, customer discovery, persona and UX feedback loops, MVP definition, end-to-end delivery from prototype to production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Data:  </w:t>
      </w:r>
      <w:r>
        <w:rPr>
          <w:rFonts w:ascii="Calibri" w:hAnsi="Calibri"/>
          <w:b w:val="0"/>
          <w:i w:val="0"/>
        </w:rPr>
        <w:t>Operational analytics products, opinionated instrumentation, KPI definition,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team dynamics. Originator of the Zero-Translation Building framework. Active LinkedIn audience engagement.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