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2"/>
        </w:rPr>
        <w:t>Ian Cowpar</w:t>
      </w:r>
    </w:p>
    <w:p>
      <w:pPr>
        <w:spacing w:after="280"/>
      </w:pPr>
      <w:r>
        <w:rPr>
          <w:rFonts w:ascii="Calibri" w:hAnsi="Calibri"/>
          <w:b w:val="0"/>
          <w:i w:val="0"/>
        </w:rPr>
        <w:t>ian.cowpar@gmail.com  |  351-235-0365  |  linkedin.com/in/ian-cowpar</w:t>
      </w:r>
    </w:p>
    <w:p>
      <w:pPr>
        <w:spacing w:after="280"/>
      </w:pPr>
      <w:r>
        <w:rPr>
          <w:rFonts w:ascii="Calibri" w:hAnsi="Calibri"/>
          <w:b w:val="0"/>
          <w:i w:val="0"/>
        </w:rPr>
        <w:t>May 2026</w:t>
      </w:r>
    </w:p>
    <w:p>
      <w:pPr>
        <w:spacing w:after="240"/>
      </w:pPr>
      <w:r>
        <w:rPr>
          <w:rFonts w:ascii="Calibri" w:hAnsi="Calibri"/>
          <w:b w:val="0"/>
          <w:i w:val="0"/>
        </w:rPr>
        <w:t>Hiring Team, Hungryroot</w:t>
      </w:r>
    </w:p>
    <w:p>
      <w:pPr>
        <w:spacing w:after="200" w:line="276" w:lineRule="auto"/>
      </w:pPr>
      <w:r>
        <w:rPr>
          <w:rFonts w:ascii="Calibri" w:hAnsi="Calibri"/>
          <w:i w:val="0"/>
        </w:rPr>
        <w:t>The shortest version of why this role caught my eye: I just spent the last two years at UKG building internal tooling for an operational team — the Services org running enterprise migrations — and the shape of that work is the shape of what you're hiring for. Different operational team (Culinary vs Services), different content (recipes vs migration configs), but the underlying problem is the same. An operational team produces something the business depends on, the existing tooling makes that production slower than it needs to be, and the role is to build the platform that lets the team scale their craft without each new unit of work needing engineering time.</w:t>
      </w:r>
    </w:p>
    <w:p>
      <w:pPr>
        <w:spacing w:after="200" w:line="276" w:lineRule="auto"/>
      </w:pPr>
      <w:r>
        <w:rPr>
          <w:rFonts w:ascii="Calibri" w:hAnsi="Calibri"/>
          <w:i w:val="0"/>
        </w:rPr>
        <w:t>The migration tool I shipped was a 0→1 self-serve product: I owned it from idea through production, wrote the working prototype myself in Claude Code, designed the UX feedback loop with services consultants, and handed engineering a complete delivery package. It's in production now; Services runs migrations without engineering tickets. That's the muscle. For Hungryroot, the analog would be the Culinary team producing recipes at the cadence and quality the business needs, with the platform absorbing the complexity that currently lives in process and tribal knowledge.</w:t>
      </w:r>
    </w:p>
    <w:p>
      <w:pPr>
        <w:spacing w:after="200" w:line="276" w:lineRule="auto"/>
      </w:pPr>
      <w:r>
        <w:rPr>
          <w:rFonts w:ascii="Calibri" w:hAnsi="Calibri"/>
          <w:i w:val="0"/>
        </w:rPr>
        <w:t xml:space="preserve">The data and AI piece. Your JD asks for systems thinking around taxonomy, coverage analysis, and Gen AI for content generation. I've built data products with opinion baked in — a five-panel operational analytics product that surfaced a single highest-leverage action per view across four products, sprint health instrumentation with documented rejection criteria for anti-patterns, ARR risk tracking with automated routing. Coverage analysis is the same instinct: what's the gap, what's the priority, what does the operator need to see next. And I write the working version of new tooling in Claude Code rather than handing engineering a spec — which is the part of </w:t>
      </w:r>
      <w:r>
        <w:rPr>
          <w:rFonts w:ascii="Calibri" w:hAnsi="Calibri"/>
          <w:i/>
        </w:rPr>
        <w:t>"AI-assisted content generation"</w:t>
      </w:r>
      <w:r>
        <w:rPr>
          <w:rFonts w:ascii="Calibri" w:hAnsi="Calibri"/>
          <w:i w:val="0"/>
        </w:rPr>
        <w:t xml:space="preserve"> most candidates won't have a real receipt for.</w:t>
      </w:r>
    </w:p>
    <w:p>
      <w:pPr>
        <w:spacing w:after="200" w:line="276" w:lineRule="auto"/>
      </w:pPr>
      <w:r>
        <w:rPr>
          <w:rFonts w:ascii="Calibri" w:hAnsi="Calibri"/>
          <w:i w:val="0"/>
        </w:rPr>
        <w:t>The honest gap: I haven't worked in food or recipe content specifically, and my product work has been B2B enterprise rather than consumer. The first I'd ramp on fast. The second I should name directly — the customer-empathy work I've done is enterprise-customer-empathy, which transfers in shape but not in domain. I'd plan to spend the first 30 days close to the Culinary team and the Hungryroot data, learning what actually breaks down in the current recipe workflow before pushing on the roadmap.</w:t>
      </w:r>
    </w:p>
    <w:p>
      <w:pPr>
        <w:spacing w:after="200" w:line="276" w:lineRule="auto"/>
      </w:pPr>
      <w:r>
        <w:rPr>
          <w:rFonts w:ascii="Calibri" w:hAnsi="Calibri"/>
          <w:i w:val="0"/>
        </w:rPr>
        <w:t>I'd welcome the conversation.</w:t>
      </w:r>
    </w:p>
    <w:p>
      <w:pPr>
        <w:spacing w:before="80"/>
      </w:pPr>
      <w:r>
        <w:rPr>
          <w:rFonts w:ascii="Calibri" w:hAnsi="Calibri"/>
          <w:b w:val="0"/>
          <w:i w:val="0"/>
        </w:rPr>
        <w:t>Ian Cowpar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