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Klaviyo</w:t>
      </w:r>
    </w:p>
    <w:p>
      <w:pPr>
        <w:spacing w:after="200" w:line="276" w:lineRule="auto"/>
      </w:pPr>
      <w:r>
        <w:rPr>
          <w:rFonts w:ascii="Calibri" w:hAnsi="Calibri"/>
          <w:i w:val="0"/>
        </w:rPr>
        <w:t xml:space="preserve">The line in the JD that decided it for me was the last one: </w:t>
      </w:r>
      <w:r>
        <w:rPr>
          <w:rFonts w:ascii="Calibri" w:hAnsi="Calibri"/>
          <w:i/>
        </w:rPr>
        <w:t>"Transform workflows by putting AI at the center, building smarter systems and ways of working from the ground up."</w:t>
      </w:r>
      <w:r>
        <w:rPr>
          <w:rFonts w:ascii="Calibri" w:hAnsi="Calibri"/>
          <w:i w:val="0"/>
        </w:rPr>
        <w:t xml:space="preserve"> Most postings bolt AI on as a bullet. Klaviyo put it at the end as the thesis — and it's the exact thing I've spent the last two years actually doing, not talking about. So let me be direct about the fit and about two honest gaps, up front.</w:t>
      </w:r>
    </w:p>
    <w:p>
      <w:pPr>
        <w:spacing w:after="200" w:line="276" w:lineRule="auto"/>
      </w:pPr>
      <w:r>
        <w:rPr>
          <w:rFonts w:ascii="Calibri" w:hAnsi="Calibri"/>
          <w:i w:val="0"/>
        </w:rPr>
        <w:t>Gap one, the obvious one: I've been a titled product manager for two years, not twelve. What I'd ask you to weigh against that is twenty years in enterprise software — a decade at Broadridge running 40+ enterprise deployments in compliance-grade financial services, then two years at UKG as a Senior PM operating at principal scope. The years-in-title number is real and I won't dress it up; the depth behind it is what I'd put in the room.</w:t>
      </w:r>
    </w:p>
    <w:p>
      <w:pPr>
        <w:spacing w:after="200" w:line="276" w:lineRule="auto"/>
      </w:pPr>
      <w:r>
        <w:rPr>
          <w:rFonts w:ascii="Calibri" w:hAnsi="Calibri"/>
          <w:i w:val="0"/>
        </w:rPr>
        <w:t>Gap two: my domain is HCM and financial-services enterprise software, not B2C CRM or martech. I'd ramp on the customer-data and lifecycle-marketing surface; I'm not going to imply I already know it.</w:t>
      </w:r>
    </w:p>
    <w:p>
      <w:pPr>
        <w:spacing w:after="200" w:line="276" w:lineRule="auto"/>
      </w:pPr>
      <w:r>
        <w:rPr>
          <w:rFonts w:ascii="Calibri" w:hAnsi="Calibri"/>
          <w:i w:val="0"/>
        </w:rPr>
        <w:t>Now the part of the JD that actually carries the role. *</w:t>
      </w:r>
      <w:r>
        <w:rPr>
          <w:rFonts w:ascii="Calibri" w:hAnsi="Calibri"/>
          <w:i/>
        </w:rPr>
        <w:t>AI at the center:</w:t>
      </w:r>
      <w:r>
        <w:rPr>
          <w:rFonts w:ascii="Calibri" w:hAnsi="Calibri"/>
          <w:i w:val="0"/>
        </w:rPr>
        <w:t>* I built UKG product's first organized AI capability layer from nothing — no mandate, no template — a shared repo 20 PMs could pull from, because the team needed it and no one else was going to. I also wrote a 0→1 migration tool's working prototype myself in Claude Code; it's in production now, six enterprise accounts in flight, Services running migrations without an engineering ticket. I build smarter systems from the ground up because I build them, not because I sponsor them.</w:t>
      </w:r>
    </w:p>
    <w:p>
      <w:pPr>
        <w:spacing w:after="200" w:line="276" w:lineRule="auto"/>
      </w:pPr>
      <w:r>
        <w:rPr>
          <w:rFonts w:ascii="Calibri" w:hAnsi="Calibri"/>
          <w:i/>
        </w:rPr>
      </w:r>
      <w:r>
        <w:rPr>
          <w:rFonts w:ascii="Calibri" w:hAnsi="Calibri"/>
          <w:i/>
        </w:rPr>
        <w:t>Enterprise rigor and influence without authority:</w:t>
      </w:r>
      <w:r>
        <w:rPr>
          <w:rFonts w:ascii="Calibri" w:hAnsi="Calibri"/>
          <w:i w:val="0"/>
        </w:rPr>
        <w:t>* I owned product strategy and roadmap on a $250M ARR line protecting 300 enterprise customers through a multi-year platform migration, and I was the product-side voice in escalation and pre-upgrade rooms — synthesizing what large customers actually needed versus what was on the roadmap and feeding that back into tradeoffs across product, engineering, and GTM. The AI capability layer is the cleaner proof of influence without authority: it spread because it was useful, not because anyone was told to adopt it.</w:t>
      </w:r>
    </w:p>
    <w:p>
      <w:pPr>
        <w:spacing w:after="200" w:line="276" w:lineRule="auto"/>
      </w:pPr>
      <w:r>
        <w:rPr>
          <w:rFonts w:ascii="Calibri" w:hAnsi="Calibri"/>
          <w:i/>
        </w:rPr>
      </w:r>
      <w:r>
        <w:rPr>
          <w:rFonts w:ascii="Calibri" w:hAnsi="Calibri"/>
          <w:i/>
        </w:rPr>
        <w:t>Trust, compliance, governance</w:t>
      </w:r>
      <w:r>
        <w:rPr>
          <w:rFonts w:ascii="Calibri" w:hAnsi="Calibri"/>
          <w:i w:val="0"/>
        </w:rPr>
        <w:t>* — the enterprise purchasing drivers in your JD — aren't abstractions I'd learn. At Broadridge they were the difference between a clean delivery and a regulatory event. That instinct for what "enterprise-grade governance without compromising ease of use" actually requires transfers directly.</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