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Known</w:t>
      </w:r>
    </w:p>
    <w:p>
      <w:pPr>
        <w:spacing w:after="200" w:line="276" w:lineRule="auto"/>
      </w:pPr>
      <w:r>
        <w:rPr>
          <w:rFonts w:ascii="Calibri" w:hAnsi="Calibri"/>
          <w:i w:val="0"/>
        </w:rPr>
        <w:t xml:space="preserve">The line in your job description that pulled me in was </w:t>
      </w:r>
      <w:r>
        <w:rPr>
          <w:rFonts w:ascii="Calibri" w:hAnsi="Calibri"/>
          <w:i/>
        </w:rPr>
        <w:t>"ship solutions that make our people more productive and our operations more efficient."</w:t>
      </w:r>
      <w:r>
        <w:rPr>
          <w:rFonts w:ascii="Calibri" w:hAnsi="Calibri"/>
          <w:i w:val="0"/>
        </w:rPr>
        <w:t xml:space="preserve"> That's the exact work I spent the last two years doing — building internal tools that absorbed operational complexity so the teams running on top of them could move faster.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clearest example: I built a 0→1 self-serve migration tool at UKG. It came to me as a consultant-and-engineering-dependent process — the Services org couldn't move customers without an engineering ticket every time. I owned it from idea through three business-epic decomposition, wrote the working prototype myself in Claude Code, designed the UX feedback loop with the services consultants who'd actually use it, and handed engineering a complete delivery package. It's in production now. Services runs migrations independently — no engineering ticket required. That's the shape of the work this role describes: an internal platform that makes the people who depend on it measurably more productive.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 xml:space="preserve">The Skeptic piece is where it gets interesting for me. I don't just talk about AI in internal tools — I build it in. The operational analytics product I designed had a Claude Code function I wrote directly into the tool that identified the single highest-leverage action per view: </w:t>
      </w:r>
      <w:r>
        <w:rPr>
          <w:rFonts w:ascii="Calibri" w:hAnsi="Calibri"/>
          <w:i/>
        </w:rPr>
        <w:t>"this one security fix clears 15 tickets — that's where you start today."</w:t>
      </w:r>
      <w:r>
        <w:rPr>
          <w:rFonts w:ascii="Calibri" w:hAnsi="Calibri"/>
          <w:i w:val="0"/>
        </w:rPr>
        <w:t xml:space="preserve"> That's the instinct I'd bring to an AI analytics platform: not a dashboard that shows you everything, but a system with opinion baked in that tells you what to do next.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 should name the honest gap: I haven't worked in a media agency, and I don't know your client-facing systems and processes. That's the "nice to have," not the requirement, and I'd ramp on it fast — but I'd rather flag it than imply otherwise. What I bring is the core: internal-tools PM, requirements-gathering from busy non-technical stakeholders, influence without authority (the AI capability layer I built scaled across the team with no mandate behind it), and the AI-as-co-builder instinct your flagship product is built around.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