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Hiring Team, OnePay — Core App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Two lines in this posting are pointed straight at me, and one isn't — so let me take all three head-on.</w:t>
      </w:r>
    </w:p>
    <w:p>
      <w:pPr>
        <w:spacing w:after="200" w:line="276" w:lineRule="auto"/>
      </w:pPr>
      <w:r>
        <w:rPr>
          <w:rFonts w:ascii="Calibri" w:hAnsi="Calibri"/>
          <w:i w:val="0"/>
        </w:rPr>
        <w:t xml:space="preserve">The first: </w:t>
      </w:r>
      <w:r>
        <w:rPr>
          <w:rFonts w:ascii="Calibri" w:hAnsi="Calibri"/>
          <w:i/>
        </w:rPr>
        <w:t>"Deep understanding of current AI tools and how to leverage them effectively."</w:t>
      </w:r>
      <w:r>
        <w:rPr>
          <w:rFonts w:ascii="Calibri" w:hAnsi="Calibri"/>
          <w:i w:val="0"/>
        </w:rPr>
        <w:t xml:space="preserve"> This is the part of my work that's furthest ahead. I built UKG product's first organized AI capability layer from nothing — no mandate, no template — a shared repo 20 PMs could pull from, and I wrote a 0→1 tool's working prototype myself in Claude Code that's in production now. I don't sponsor AI work; I do it with my hands, which is the only way you actually learn what these tools can and can't do.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second: OnePay reaches frontline workers by partnering with HCM providers and employers. I spent the last two years inside one — UKG is exactly that kind of workforce platform. The embedded-financial-services distribution model isn't a concept I'd be learning; it's the environment I just came from, and a decade before that I was in compliance-grade financial services at Broadridge running 40+ enterprise deployments. The fintech-adjacent rigor and the HCM channel are both real on my side.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line that isn't pointed at me: I have not built consumer personalization, recommendation systems, or an experimentation platform, and my PM title is two years old, not five. I won't pretend otherwise. What I'd put against the tenure number is twenty years in enterprise software and a track record of operating at principal scope in the last two. What I'd put against the personalization gap is the load-bearing skill underneath it: I turn messy data into a hypothesis, a success metric, and a shipped thing — a five-panel analytics product that cut a working list ~97% by separating signal from noise, and a composite risk model scored on real signal rather than raw counts, where I defined the metric myself. The surface I'd ramp; the data-into-decisions instinct is already there.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rest is culture fit, and this is the part I'd actually lead with in person: I move fast, I build, and I have low ego about it. Idea to engineering-ready in a week is not a one-off — it's how I work. "Ready to run" is the right filter, and I clear it.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the conversation — and I move quickly.</w:t>
      </w:r>
    </w:p>
    <w:p>
      <w:pPr>
        <w:spacing w:before="80"/>
      </w:pPr>
      <w:r>
        <w:rPr>
          <w:rFonts w:ascii="Calibri" w:hAnsi="Calibri"/>
          <w:b w:val="0"/>
          <w:i w:val="0"/>
        </w:rPr>
        <w:t>Ian Cowpar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