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2"/>
        </w:rPr>
        <w:t>Ian Cowpar</w:t>
      </w:r>
    </w:p>
    <w:p>
      <w:pPr>
        <w:spacing w:after="280"/>
      </w:pPr>
      <w:r>
        <w:rPr>
          <w:rFonts w:ascii="Calibri" w:hAnsi="Calibri"/>
          <w:b w:val="0"/>
          <w:i w:val="0"/>
        </w:rPr>
        <w:t>ian.cowpar@gmail.com  |  351-235-0365  |  linkedin.com/in/ian-cowpar</w:t>
      </w:r>
    </w:p>
    <w:p>
      <w:pPr>
        <w:spacing w:after="280"/>
      </w:pPr>
      <w:r>
        <w:rPr>
          <w:rFonts w:ascii="Calibri" w:hAnsi="Calibri"/>
          <w:b w:val="0"/>
          <w:i w:val="0"/>
        </w:rPr>
        <w:t>May 2026</w:t>
      </w:r>
    </w:p>
    <w:p>
      <w:pPr>
        <w:spacing w:after="240"/>
      </w:pPr>
      <w:r>
        <w:rPr>
          <w:rFonts w:ascii="Calibri" w:hAnsi="Calibri"/>
          <w:b w:val="0"/>
          <w:i w:val="0"/>
        </w:rPr>
        <w:t>To the Hiring Team (via the recruiting partner)</w:t>
      </w:r>
    </w:p>
    <w:p>
      <w:pPr>
        <w:spacing w:after="200" w:line="276" w:lineRule="auto"/>
      </w:pPr>
      <w:r>
        <w:rPr>
          <w:rFonts w:ascii="Calibri" w:hAnsi="Calibri"/>
          <w:i w:val="0"/>
        </w:rPr>
        <w:t>I'm responding without knowing the client's name, so I'll keep this to the part I can speak to with precision: the competencies the role is built around, which line up unusually cleanly with how I actually work.</w:t>
      </w:r>
    </w:p>
    <w:p>
      <w:pPr>
        <w:spacing w:after="200" w:line="276" w:lineRule="auto"/>
      </w:pPr>
      <w:r>
        <w:rPr>
          <w:rFonts w:ascii="Calibri" w:hAnsi="Calibri"/>
          <w:i w:val="0"/>
        </w:rPr>
        <w:t>The role is a unified vision and roadmap for the ROI product experience, owned from concept to launch, in an ambiguous and innovative environment, with data used to find the improvement that matters and cross-functional partners to align and motivate. That is a description of my last two years, not an aspiration. I set the vision for a 0→1 product, wrote the working prototype myself in Claude Code, partnered with engineering to define the scalable system underneath it, and took it from a vague concept to a production launch in a one-week prototype cycle. The analytics work alongside it — a five-panel system that cut a ~200-item list to a real five, a composite risk model built on signal rather than raw counts — is exactly "use data to identify experience-improvement opportunities," done with a point of view.</w:t>
      </w:r>
    </w:p>
    <w:p>
      <w:pPr>
        <w:spacing w:after="200" w:line="276" w:lineRule="auto"/>
      </w:pPr>
      <w:r>
        <w:rPr>
          <w:rFonts w:ascii="Calibri" w:hAnsi="Calibri"/>
          <w:i w:val="0"/>
        </w:rPr>
        <w:t>Two honest notes, since your posting explicitly invites people who don't check every box. My product-manager title is two years old; the "3+ years launching products" line is better answered by the launches themselves — a production 0→1 tool, an org-wide capability layer, and a decade before that engaging enterprise customers directly across 40+ deployments at Broadridge — than by the title clock. And because the client and domain are anonymized, I won't claim domain fit I can't verify; what I can say is that thriving in ambiguity and ramping a new domain fast is the most consistent through-line in my work, which the role names as a requirement rather than a nice-to-have.</w:t>
      </w:r>
    </w:p>
    <w:p>
      <w:pPr>
        <w:spacing w:after="200" w:line="276" w:lineRule="auto"/>
      </w:pPr>
      <w:r>
        <w:rPr>
          <w:rFonts w:ascii="Calibri" w:hAnsi="Calibri"/>
          <w:i w:val="0"/>
        </w:rPr>
        <w:t>One qualification I'd underline because it's genuine, not boilerplate: respect for collaborators' expertise. My instinct walking into a technical or specialist team is to defer to the people who own that depth and build from their judgment, not over it. That's how the AI capability layer spread without a mandate, and it's how I'd approach a Product Triad here.</w:t>
      </w:r>
    </w:p>
    <w:p>
      <w:pPr>
        <w:spacing w:after="200" w:line="276" w:lineRule="auto"/>
      </w:pPr>
      <w:r>
        <w:rPr>
          <w:rFonts w:ascii="Calibri" w:hAnsi="Calibri"/>
          <w:i w:val="0"/>
        </w:rPr>
        <w:t>I'd welcome the conversation.</w:t>
      </w:r>
    </w:p>
    <w:p>
      <w:pPr>
        <w:spacing w:before="80"/>
      </w:pPr>
      <w:r>
        <w:rPr>
          <w:rFonts w:ascii="Calibri" w:hAnsi="Calibri"/>
          <w:b w:val="0"/>
          <w:i w:val="0"/>
        </w:rPr>
        <w:t>Ian Cowpar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