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2"/>
        </w:rPr>
        <w:t>Ian 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ian.cowpar@gmail.com  |  351-235-0365  |  linkedin.com/in/ian-cowpar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May 2026</w:t>
      </w:r>
    </w:p>
    <w:p>
      <w:pPr>
        <w:spacing w:after="240"/>
      </w:pPr>
      <w:r>
        <w:rPr>
          <w:rFonts w:ascii="Calibri" w:hAnsi="Calibri"/>
          <w:b w:val="0"/>
          <w:i w:val="0"/>
        </w:rPr>
        <w:t>Hi [Hiring Manager],</w:t>
      </w:r>
    </w:p>
    <w:p>
      <w:pPr>
        <w:spacing w:after="200" w:line="276" w:lineRule="auto"/>
      </w:pPr>
      <w:r>
        <w:rPr>
          <w:rFonts w:ascii="Calibri" w:hAnsi="Calibri"/>
          <w:i w:val="0"/>
        </w:rPr>
        <w:t>[Mutual friend] flagged that this role just opened up on your team and pointed me at it directly. Quick context: I was part of the UKG Pro Services reduction in force in April. I'd been weighing my next move and this opening landed at the right time — I'd like to be considered.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shortest version: I spent the last two years operating at the seam between platforms and functions inside UKG product. The escalation and pre-upgrade calls I sat in were alliance-room conversations in a different costume — same exec presence, same real-time translation between what a customer (or partner) is asking for and what the roadmap is actually going to deliver. The migration tool I rebuilt was an exercise in removing friction at the boundary between two systems that were supposed to work together. The defect triage and ARR-risk reporting systems I built are the same orchestration discipline alliance managers use to keep a portfolio moving without losing the highest-leverage action.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piece I'd most want to bring to your team specifically: the AI-fluent way of working I've built up. I built UKG product's first organized AI adoption effort and run Claude Code and agentic tooling daily — not as a curiosity but as something that meaningfully changes the speed and quality of the decisions I'm making. Partner conversations are about to get a lot more interesting on that axis, and I'd want to be in the rooms where the conversation is shaping what UKG offers as a platform alongside what partners are shipping on top of it.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I'd welcome 30 minutes whenever it works.</w:t>
      </w:r>
    </w:p>
    <w:p>
      <w:pPr>
        <w:spacing w:before="80"/>
      </w:pPr>
      <w:r>
        <w:rPr>
          <w:rFonts w:ascii="Calibri" w:hAnsi="Calibri"/>
          <w:b w:val="0"/>
          <w:i w:val="0"/>
        </w:rPr>
        <w:t>Ian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