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sz w:val="32"/>
        </w:rPr>
        <w:t>Ian Cowpar</w:t>
      </w:r>
    </w:p>
    <w:p>
      <w:pPr>
        <w:spacing w:after="280"/>
      </w:pPr>
      <w:r>
        <w:rPr>
          <w:rFonts w:ascii="Calibri" w:hAnsi="Calibri"/>
          <w:b w:val="0"/>
          <w:i w:val="0"/>
        </w:rPr>
        <w:t>ian.cowpar@gmail.com  |  351-235-0365  |  linkedin.com/in/ian-cowpar</w:t>
      </w:r>
    </w:p>
    <w:p>
      <w:pPr>
        <w:spacing w:after="280"/>
      </w:pPr>
      <w:r>
        <w:rPr>
          <w:rFonts w:ascii="Calibri" w:hAnsi="Calibri"/>
          <w:b w:val="0"/>
          <w:i w:val="0"/>
        </w:rPr>
        <w:t>May 2026</w:t>
      </w:r>
    </w:p>
    <w:p>
      <w:pPr>
        <w:spacing w:after="240"/>
      </w:pPr>
      <w:r>
        <w:rPr>
          <w:rFonts w:ascii="Calibri" w:hAnsi="Calibri"/>
          <w:b w:val="0"/>
          <w:i w:val="0"/>
        </w:rPr>
        <w:t>Hiring Team, Yahoo</w:t>
      </w:r>
    </w:p>
    <w:p>
      <w:pPr>
        <w:spacing w:after="200" w:line="276" w:lineRule="auto"/>
      </w:pPr>
      <w:r>
        <w:rPr>
          <w:rFonts w:ascii="Calibri" w:hAnsi="Calibri"/>
          <w:i w:val="0"/>
        </w:rPr>
        <w:t>The line that pulled me into this posting was "shifting from traditional infrastructure to an AI-augmented ecosystem where speed and reliability are driven by intelligent automation." Most product orgs are still treating that shift as a roadmap item — something to ship to customers. The version that compounds is the one where the same shift happens internally first: the PMs, the engineers, and the stakeholders running on top of the platform are the first beneficiaries of the intelligent automation, not the second. That distinction is the part of this role that I think actually matters.</w:t>
      </w:r>
    </w:p>
    <w:p>
      <w:pPr>
        <w:spacing w:after="200" w:line="276" w:lineRule="auto"/>
      </w:pPr>
      <w:r>
        <w:rPr>
          <w:rFonts w:ascii="Calibri" w:hAnsi="Calibri"/>
          <w:i w:val="0"/>
        </w:rPr>
        <w:t>That's the work I've been doing at UKG. I built a PM automation library and then scaled it into a team-wide shared capability — the first organized AI adoption effort inside the product org. I designed a five-panel defect triage system that classifies open issues across customer escalations, code defects, internal bugs, and CVEs across four products, auto-refreshing daily with a single highest-leverage action surfaced per view. I built sprint health instrumentation refreshing every 15 minutes across two engineering teams, with documented rejection criteria for burndown, velocity, and story-point anti-patterns and technical rationale for each. The pattern is consistent: find the manual feedback synthesis, the documentation tax, the status-report routine — and replace it with something that runs without me. That's exactly the shift this role is asking the platform org to make at scale.</w:t>
      </w:r>
    </w:p>
    <w:p>
      <w:pPr>
        <w:spacing w:after="200" w:line="276" w:lineRule="auto"/>
      </w:pPr>
      <w:r>
        <w:rPr>
          <w:rFonts w:ascii="Calibri" w:hAnsi="Calibri"/>
          <w:i w:val="0"/>
        </w:rPr>
        <w:t>The honest gap I should name directly: my platform PM experience is in workforce management at $250M ARR, not in cloud runtime, Kubernetes, security platforms, or DBaaS. I haven't owned a K8s-shaped product. What I have is the underlying instinct — platforms-as-leverage thinking, an obsession with developer and PM cognitive load, and an AI-fluency built from running Claude Code and agentic tooling daily rather than from reading about it. I'd rather acknowledge the technical-depth gap clearly and let the conversation go from there than overclaim it.</w:t>
      </w:r>
    </w:p>
    <w:p>
      <w:pPr>
        <w:spacing w:after="200" w:line="276" w:lineRule="auto"/>
      </w:pPr>
      <w:r>
        <w:rPr>
          <w:rFonts w:ascii="Calibri" w:hAnsi="Calibri"/>
          <w:i w:val="0"/>
        </w:rPr>
        <w:t>The expectation that AI is integrated into day-to-day product workflows — not just the customer-facing surface — is what made me stop scrolling. I'd welcome the conversation.</w:t>
      </w:r>
    </w:p>
    <w:p>
      <w:pPr>
        <w:spacing w:before="80"/>
      </w:pPr>
      <w:r>
        <w:rPr>
          <w:rFonts w:ascii="Calibri" w:hAnsi="Calibri"/>
          <w:b w:val="0"/>
          <w:i w:val="0"/>
        </w:rPr>
        <w:t>Ian Cowpar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