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Strategic operator  |  technical translator  |  AI as operating leverage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Strategic operator with 20+ years of experience translating between executive vision and ground-level execution. Two years at UKG operating at the seam between Product, Services, and Engineering during a multi-year $250M ARR migration — coordinating cross-functional execution across 300 enterprise customers, scaling UKG product's first organized AI capability layer without a top-down mandate, and shipping a 0→1 product I wrote the working prototype for myself in Claude Code. Ten years prior at Broadridge Financial Solutions: 40+ enterprise client deployments in compliance-grade environments where regulatory consequence sharpened the synthesis, stakeholder-management, and operating-discipline instincts that translate directly to a Chief of Staff function.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Cross-functional execution, AI-fluent strategy, and operating discipline at the seam between Product, Services, and Engineering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 Ran peer groups to make sure the practice stuck across the team.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Owned a 0→1 self-serve migration product,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Partnered with the UTA upgrade program lead and engineering leadership on ARR-focused risk tracking </w:t>
      </w:r>
      <w:r>
        <w:rPr>
          <w:rFonts w:ascii="Calibri" w:hAnsi="Calibri"/>
          <w:b w:val="0"/>
          <w:i w:val="0"/>
        </w:rPr>
        <w:t>— designed the executive reporting cadence and routing logic that surfaced aging issues to leadership before they escalated. Built for the way executive stakeholders actually want to see a portfolio.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 The synthesis and exec-room composure that translate directly to a Chief of Staff function.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and operationalized a five-panel operational analytics product </w:t>
      </w:r>
      <w:r>
        <w:rPr>
          <w:rFonts w:ascii="Calibri" w:hAnsi="Calibri"/>
          <w:b w:val="0"/>
          <w:i w:val="0"/>
        </w:rPr>
        <w:t>that surfaced a single highest-leverage action per panel across customer escalations, code defects, internal bugs, CVEs, and noise — auto-refreshed daily across four products, with a Claude Code function I built into the tool to drive the leverage analysis. The system replaced manual feedback synthesis across multiple engineering leads.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across two engineering teams </w:t>
      </w:r>
      <w:r>
        <w:rPr>
          <w:rFonts w:ascii="Calibri" w:hAnsi="Calibri"/>
          <w:b w:val="0"/>
          <w:i w:val="0"/>
        </w:rPr>
        <w:t>to give engineering leadership a continuous view of delivery health, with documented rejection criteria for burndown, velocity, and story-point anti-patterns — each with technical rationale. Built for signal, not ceremony.</w:t>
      </w:r>
    </w:p>
    <w:p>
      <w:pPr>
        <w:spacing w:before="0" w:after="40"/>
      </w:pPr>
      <w:r>
        <w:rPr>
          <w:rFonts w:ascii="Calibri" w:hAnsi="Calibri"/>
          <w:b w:val="0"/>
          <w:i/>
        </w:rPr>
        <w:t>Drove cross-org collaboration as a regional brand champion (UKG North America) and Business Innovation workstream lead in the Fire Up ERG, building relationships with senior leaders across the org that translated into the cross-functional partnerships I relied on for delivery.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Program owner across 40+ enterprise client deployments end-to-end in a compliance-grade financial services environment; developed strong instincts for regulatory consequence, requirements quality, multi-stakeholder coordination, and the difference between a delivery that closes and a program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and executives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building, enterprise AI adoption strategy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Strategy &amp; Execution:  </w:t>
      </w:r>
      <w:r>
        <w:rPr>
          <w:rFonts w:ascii="Calibri" w:hAnsi="Calibri"/>
          <w:b w:val="0"/>
          <w:i w:val="0"/>
        </w:rPr>
        <w:t>Strategic initiative ownership, 0→1 product building, MVP definition, end-to-end delivery from prototype to production, complex program management, modern collaboration tooling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presence, exec-room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enterprise AI adoption, executive technology strategy,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