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2"/>
        </w:rPr>
        <w:t>Ian Cowpar</w:t>
      </w:r>
    </w:p>
    <w:p>
      <w:pPr>
        <w:spacing w:after="280"/>
      </w:pPr>
      <w:r>
        <w:rPr>
          <w:rFonts w:ascii="Calibri" w:hAnsi="Calibri"/>
          <w:b w:val="0"/>
          <w:i w:val="0"/>
        </w:rPr>
        <w:t>ian.cowpar@gmail.com  |  351-235-0365  |  linkedin.com/in/ian-cowpar</w:t>
      </w:r>
    </w:p>
    <w:p>
      <w:pPr>
        <w:spacing w:after="280"/>
      </w:pPr>
      <w:r>
        <w:rPr>
          <w:rFonts w:ascii="Calibri" w:hAnsi="Calibri"/>
          <w:b w:val="0"/>
          <w:i w:val="0"/>
        </w:rPr>
        <w:t>May 2026</w:t>
      </w:r>
    </w:p>
    <w:p>
      <w:pPr>
        <w:spacing w:after="240"/>
      </w:pPr>
      <w:r>
        <w:rPr>
          <w:rFonts w:ascii="Calibri" w:hAnsi="Calibri"/>
          <w:b w:val="0"/>
          <w:i w:val="0"/>
        </w:rPr>
        <w:t>Hiring Team, Elios</w:t>
      </w:r>
    </w:p>
    <w:p>
      <w:pPr>
        <w:spacing w:after="200" w:line="276" w:lineRule="auto"/>
      </w:pPr>
      <w:r>
        <w:rPr>
          <w:rFonts w:ascii="Calibri" w:hAnsi="Calibri"/>
          <w:i w:val="0"/>
        </w:rPr>
        <w:t>This role is about translation — taking insight from live case work, advisory sessions, and field deployments and turning it into clear, buildable product requirements. I've been working on exactly that problem long enough that I gave it a name: Zero-Translation Building. It's the discipline of closing the gap between what the field actually needs and what gets built, and I write about it weekly. Most product roles describe translation as one responsibility among many. This one puts it at the center, which is the part that made me stop scrolling.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The clearest receipt: at UKG I built a 0→1 self-serve migration tool. It came to me as a consultant-and-engineering-dependent process. I owned it from idea through three business-epic decomposition, wrote the working prototype myself in Claude Code, ran the UX feedback loop with the services consultants who'd actually use it in the field, and handed engineering a complete delivery package — bepics, epics, stories, acceptance criteria, Gantt, roadmap. It's in production now; the Services org runs it independently. That's the shape of "own the backlog and translate field needs into specs the team can execute against."</w:t>
      </w:r>
    </w:p>
    <w:p>
      <w:pPr>
        <w:spacing w:after="200" w:line="276" w:lineRule="auto"/>
      </w:pPr>
      <w:r>
        <w:rPr>
          <w:rFonts w:ascii="Calibri" w:hAnsi="Calibri"/>
          <w:i w:val="0"/>
        </w:rPr>
        <w:t>On platform coherence — the JD's line about contributing to shared ontology and UI library rather than shipping one-off builds that don't generalize. That's the discipline I designed into UKG's first AI capability layer from the start: shared infrastructure, not personal tooling, so it generalized across the team and adoption spread without a top-down mandate. One-off builds don't compound. Shared infrastructure does. That's a principle I'd protect, not just comply with.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The AI piece is real, not stretched. The JD calls for partnering with AI Engineers on LLM-powered feature design. I don't just spec AI features — I build them. The operational analytics product I designed had a Claude Code function I wrote directly into the tool that surfaced the single highest-leverage action per view. I'd bring that builder fluency to the LLM-powered feature conversations, not just product judgment from the outside.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The honest gap: I haven't worked inside a consulting firm. That's the "nice to have," not the requirement — and the closest analog in my background is real: a decade at Broadridge running 40+ forward-deployed, client-facing enterprise deployments where requirements came from the field and had to become buildable specs. The environment is new. The translation discipline is the thing I've spent my career on.</w:t>
      </w:r>
    </w:p>
    <w:p>
      <w:pPr>
        <w:spacing w:after="200" w:line="276" w:lineRule="auto"/>
      </w:pPr>
      <w:r>
        <w:rPr>
          <w:rFonts w:ascii="Calibri" w:hAnsi="Calibri"/>
          <w:i w:val="0"/>
        </w:rPr>
        <w:t>I'd welcome the conversation.</w:t>
      </w:r>
    </w:p>
    <w:p>
      <w:pPr>
        <w:spacing w:before="80"/>
      </w:pPr>
      <w:r>
        <w:rPr>
          <w:rFonts w:ascii="Calibri" w:hAnsi="Calibri"/>
          <w:b w:val="0"/>
          <w:i w:val="0"/>
        </w:rPr>
        <w:t>Ian Cowpar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